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4BFB" w:rsidTr="00345119">
        <w:tc>
          <w:tcPr>
            <w:tcW w:w="9576" w:type="dxa"/>
            <w:noWrap/>
          </w:tcPr>
          <w:p w:rsidR="008423E4" w:rsidRPr="0022177D" w:rsidRDefault="005D63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  <w:tr w:rsidR="00054BFB" w:rsidTr="00345119">
        <w:tc>
          <w:tcPr>
            <w:tcW w:w="9576" w:type="dxa"/>
            <w:noWrap/>
          </w:tcPr>
          <w:p w:rsidR="00722390" w:rsidRDefault="005D63E2" w:rsidP="00345119">
            <w:pPr>
              <w:pStyle w:val="Heading1"/>
            </w:pPr>
          </w:p>
        </w:tc>
      </w:tr>
    </w:tbl>
    <w:p w:rsidR="008423E4" w:rsidRPr="0022177D" w:rsidRDefault="005D63E2" w:rsidP="008423E4">
      <w:pPr>
        <w:jc w:val="center"/>
      </w:pPr>
    </w:p>
    <w:p w:rsidR="008423E4" w:rsidRPr="00B31F0E" w:rsidRDefault="005D63E2" w:rsidP="008423E4"/>
    <w:p w:rsidR="008423E4" w:rsidRPr="00742794" w:rsidRDefault="005D63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4BFB" w:rsidTr="00345119">
        <w:tc>
          <w:tcPr>
            <w:tcW w:w="9576" w:type="dxa"/>
          </w:tcPr>
          <w:p w:rsidR="008423E4" w:rsidRPr="00861995" w:rsidRDefault="005D63E2" w:rsidP="00345119">
            <w:pPr>
              <w:jc w:val="right"/>
            </w:pPr>
            <w:r>
              <w:t>C.S.H.B. 496</w:t>
            </w:r>
          </w:p>
        </w:tc>
      </w:tr>
      <w:tr w:rsidR="00054BFB" w:rsidTr="00345119">
        <w:tc>
          <w:tcPr>
            <w:tcW w:w="9576" w:type="dxa"/>
          </w:tcPr>
          <w:p w:rsidR="008423E4" w:rsidRPr="00861995" w:rsidRDefault="005D63E2" w:rsidP="008860D9">
            <w:pPr>
              <w:jc w:val="right"/>
            </w:pPr>
            <w:r>
              <w:t xml:space="preserve">By: </w:t>
            </w:r>
            <w:r>
              <w:t>Gervin-Hawkins</w:t>
            </w:r>
          </w:p>
        </w:tc>
      </w:tr>
      <w:tr w:rsidR="00054BFB" w:rsidTr="00345119">
        <w:tc>
          <w:tcPr>
            <w:tcW w:w="9576" w:type="dxa"/>
          </w:tcPr>
          <w:p w:rsidR="008423E4" w:rsidRPr="00861995" w:rsidRDefault="005D63E2" w:rsidP="00345119">
            <w:pPr>
              <w:jc w:val="right"/>
            </w:pPr>
            <w:r>
              <w:t>Public Education</w:t>
            </w:r>
          </w:p>
        </w:tc>
      </w:tr>
      <w:tr w:rsidR="00054BFB" w:rsidTr="00345119">
        <w:tc>
          <w:tcPr>
            <w:tcW w:w="9576" w:type="dxa"/>
          </w:tcPr>
          <w:p w:rsidR="008423E4" w:rsidRDefault="005D63E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D63E2" w:rsidP="008423E4">
      <w:pPr>
        <w:tabs>
          <w:tab w:val="right" w:pos="9360"/>
        </w:tabs>
      </w:pPr>
    </w:p>
    <w:p w:rsidR="008423E4" w:rsidRDefault="005D63E2" w:rsidP="008423E4"/>
    <w:p w:rsidR="008423E4" w:rsidRDefault="005D63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4BFB" w:rsidTr="00345119">
        <w:tc>
          <w:tcPr>
            <w:tcW w:w="9576" w:type="dxa"/>
          </w:tcPr>
          <w:p w:rsidR="008423E4" w:rsidRPr="00A8133F" w:rsidRDefault="005D63E2" w:rsidP="00093B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63E2" w:rsidP="00093B9F"/>
          <w:p w:rsidR="005951B7" w:rsidRDefault="005D63E2" w:rsidP="00093B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As part of recent efforts to improve school safety in the context of school shootings and other serious threats, there have been calls to improve first aid-related resources and other safety equipment. </w:t>
            </w:r>
            <w:r>
              <w:t>C.S.</w:t>
            </w:r>
            <w:r w:rsidRPr="00046392">
              <w:t>H</w:t>
            </w:r>
            <w:r>
              <w:t>.</w:t>
            </w:r>
            <w:r w:rsidRPr="00046392">
              <w:t>B</w:t>
            </w:r>
            <w:r>
              <w:t>.</w:t>
            </w:r>
            <w:r w:rsidRPr="00046392">
              <w:t xml:space="preserve"> 496 seeks to </w:t>
            </w:r>
            <w:r>
              <w:t>provide for such an improvement</w:t>
            </w:r>
            <w:r w:rsidRPr="00046392">
              <w:t xml:space="preserve"> </w:t>
            </w:r>
            <w:r w:rsidRPr="00046392">
              <w:t xml:space="preserve">by requiring </w:t>
            </w:r>
            <w:r>
              <w:t xml:space="preserve">the development and implementation of a bleeding control </w:t>
            </w:r>
            <w:r>
              <w:t>station</w:t>
            </w:r>
            <w:r>
              <w:t xml:space="preserve"> program at each</w:t>
            </w:r>
            <w:r w:rsidRPr="00046392">
              <w:t xml:space="preserve"> campus </w:t>
            </w:r>
            <w:r>
              <w:t xml:space="preserve">of a public </w:t>
            </w:r>
            <w:r w:rsidRPr="00046392">
              <w:t>school district and open-enrollment charter school</w:t>
            </w:r>
            <w:r>
              <w:t>, including associated personnel training</w:t>
            </w:r>
            <w:r w:rsidRPr="00046392">
              <w:t xml:space="preserve">. </w:t>
            </w:r>
          </w:p>
          <w:p w:rsidR="008423E4" w:rsidRPr="00E26B13" w:rsidRDefault="005D63E2" w:rsidP="00093B9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54BFB" w:rsidTr="00345119">
        <w:tc>
          <w:tcPr>
            <w:tcW w:w="9576" w:type="dxa"/>
          </w:tcPr>
          <w:p w:rsidR="0017725B" w:rsidRDefault="005D63E2" w:rsidP="00093B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63E2" w:rsidP="00093B9F">
            <w:pPr>
              <w:rPr>
                <w:b/>
                <w:u w:val="single"/>
              </w:rPr>
            </w:pPr>
          </w:p>
          <w:p w:rsidR="008E7250" w:rsidRPr="008E7250" w:rsidRDefault="005D63E2" w:rsidP="00093B9F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D63E2" w:rsidP="00093B9F">
            <w:pPr>
              <w:rPr>
                <w:b/>
                <w:u w:val="single"/>
              </w:rPr>
            </w:pPr>
          </w:p>
        </w:tc>
      </w:tr>
      <w:tr w:rsidR="00054BFB" w:rsidTr="00345119">
        <w:tc>
          <w:tcPr>
            <w:tcW w:w="9576" w:type="dxa"/>
          </w:tcPr>
          <w:p w:rsidR="008423E4" w:rsidRPr="00A8133F" w:rsidRDefault="005D63E2" w:rsidP="00093B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63E2" w:rsidP="00093B9F"/>
          <w:p w:rsidR="008E7250" w:rsidRDefault="005D63E2" w:rsidP="00093B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D63E2" w:rsidP="00093B9F">
            <w:pPr>
              <w:rPr>
                <w:b/>
              </w:rPr>
            </w:pPr>
          </w:p>
        </w:tc>
      </w:tr>
      <w:tr w:rsidR="00054BFB" w:rsidTr="00345119">
        <w:tc>
          <w:tcPr>
            <w:tcW w:w="9576" w:type="dxa"/>
          </w:tcPr>
          <w:p w:rsidR="008423E4" w:rsidRPr="00A8133F" w:rsidRDefault="005D63E2" w:rsidP="00093B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D63E2" w:rsidP="00093B9F"/>
          <w:p w:rsidR="00C12D39" w:rsidRDefault="005D63E2" w:rsidP="00672348">
            <w:pPr>
              <w:pStyle w:val="Header"/>
              <w:jc w:val="both"/>
            </w:pPr>
            <w:r>
              <w:t>C.S.</w:t>
            </w:r>
            <w:r>
              <w:t>H.B. 496 amends the Education Code to require each pub</w:t>
            </w:r>
            <w:r>
              <w:t>lic school district and open</w:t>
            </w:r>
            <w:r>
              <w:noBreakHyphen/>
            </w:r>
            <w:r>
              <w:t>enrollment charter school</w:t>
            </w:r>
            <w:r>
              <w:t>, not later than January 1, 2020,</w:t>
            </w:r>
            <w:r>
              <w:t xml:space="preserve"> to develop and implement at each campus of the district or school a ble</w:t>
            </w:r>
            <w:r>
              <w:t xml:space="preserve">eding control </w:t>
            </w:r>
            <w:r>
              <w:t xml:space="preserve">station </w:t>
            </w:r>
            <w:r>
              <w:t>program that</w:t>
            </w:r>
            <w:r>
              <w:t xml:space="preserve"> meets the following criteria</w:t>
            </w:r>
            <w:r>
              <w:t>:</w:t>
            </w:r>
            <w:r>
              <w:t xml:space="preserve"> </w:t>
            </w:r>
          </w:p>
          <w:p w:rsidR="00C12D39" w:rsidRDefault="005D63E2" w:rsidP="0067234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ensures that bleeding control </w:t>
            </w:r>
            <w:r>
              <w:t>s</w:t>
            </w:r>
            <w:r>
              <w:t xml:space="preserve">tations </w:t>
            </w:r>
            <w:r>
              <w:t xml:space="preserve">are stored in easily accessible areas of the campus that are selected by the district's school safety and security committee or the </w:t>
            </w:r>
            <w:r>
              <w:t>charter school's governing body</w:t>
            </w:r>
            <w:r>
              <w:t>;</w:t>
            </w:r>
            <w:r>
              <w:t xml:space="preserve"> </w:t>
            </w:r>
          </w:p>
          <w:p w:rsidR="00C12D39" w:rsidRDefault="005D63E2" w:rsidP="0067234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includes the </w:t>
            </w:r>
            <w:r>
              <w:t xml:space="preserve">use of bleeding control </w:t>
            </w:r>
            <w:r>
              <w:t xml:space="preserve">stations </w:t>
            </w:r>
            <w:r>
              <w:t xml:space="preserve">in </w:t>
            </w:r>
            <w:r>
              <w:t>a</w:t>
            </w:r>
            <w:r>
              <w:t xml:space="preserve">ny security planning measure or </w:t>
            </w:r>
            <w:r>
              <w:t>protocol adopted by a district</w:t>
            </w:r>
            <w:r>
              <w:t xml:space="preserve"> or</w:t>
            </w:r>
            <w:r>
              <w:t xml:space="preserve"> </w:t>
            </w:r>
            <w:r>
              <w:t xml:space="preserve">by </w:t>
            </w:r>
            <w:r>
              <w:t>a char</w:t>
            </w:r>
            <w:r>
              <w:t>ter school's governing body</w:t>
            </w:r>
            <w:r>
              <w:t>;</w:t>
            </w:r>
          </w:p>
          <w:p w:rsidR="0084235B" w:rsidRDefault="005D63E2" w:rsidP="0067234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requires that </w:t>
            </w:r>
            <w:r>
              <w:t xml:space="preserve">training approved by the </w:t>
            </w:r>
            <w:r>
              <w:t>Texas Education Agency (TEA) on the use of a bleeding control station in the event of an injury to another person be provided to each commissione</w:t>
            </w:r>
            <w:r>
              <w:t>d district peace officer or school security personnel, each school resource officer</w:t>
            </w:r>
            <w:r>
              <w:t xml:space="preserve"> who provides law enforcement at the campus</w:t>
            </w:r>
            <w:r>
              <w:t>, and all other district or school personnel who may be reasonably expected to use a bleeding control station; and</w:t>
            </w:r>
          </w:p>
          <w:p w:rsidR="0084235B" w:rsidRDefault="005D63E2" w:rsidP="0067234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requires each student enrolled in grade seven or higher at the campus to annually receive instruction on the use of a bleeding control station from a school resource officer or other appropriate district or school personnel who has received the </w:t>
            </w:r>
            <w:r>
              <w:t xml:space="preserve">required </w:t>
            </w:r>
            <w:r>
              <w:t>tr</w:t>
            </w:r>
            <w:r>
              <w:t xml:space="preserve">aining. </w:t>
            </w:r>
            <w:r>
              <w:t xml:space="preserve"> </w:t>
            </w:r>
          </w:p>
          <w:p w:rsidR="0084235B" w:rsidRDefault="005D63E2" w:rsidP="00672348">
            <w:pPr>
              <w:pStyle w:val="Header"/>
              <w:jc w:val="both"/>
            </w:pPr>
          </w:p>
          <w:p w:rsidR="00641F45" w:rsidRDefault="005D63E2" w:rsidP="00672348">
            <w:pPr>
              <w:pStyle w:val="Header"/>
              <w:jc w:val="both"/>
            </w:pPr>
            <w:r>
              <w:t>C.S.H.B. 496</w:t>
            </w:r>
            <w:r>
              <w:t xml:space="preserve"> </w:t>
            </w:r>
            <w:r>
              <w:t>exempts a student from receiving instruction on the use of a bleeding control station if the student has a disability that makes participating in the instruction impractical or the student's parent or guardian does not consent to th</w:t>
            </w:r>
            <w:r>
              <w:t>e student receiving the instruction. The bill requires the commissioner of education to adopt guidelines to ensure that districts and charter schools provide notice to a parent of each child enrolled at a district or school campus regarding such instructio</w:t>
            </w:r>
            <w:r>
              <w:t xml:space="preserve">n and that parents are provided the opportunity to remove the parent's child from the instruction. The bill </w:t>
            </w:r>
            <w:r>
              <w:t>sets out requirements for the contents, annual inspection, and restocking of the</w:t>
            </w:r>
            <w:r>
              <w:t xml:space="preserve"> bleeding control </w:t>
            </w:r>
            <w:r>
              <w:t>station</w:t>
            </w:r>
            <w:r>
              <w:t xml:space="preserve">. </w:t>
            </w:r>
          </w:p>
          <w:p w:rsidR="00641F45" w:rsidRDefault="005D63E2" w:rsidP="00672348">
            <w:pPr>
              <w:pStyle w:val="Header"/>
              <w:jc w:val="both"/>
            </w:pPr>
          </w:p>
          <w:p w:rsidR="008423E4" w:rsidRDefault="005D63E2" w:rsidP="00672348">
            <w:pPr>
              <w:pStyle w:val="Header"/>
              <w:jc w:val="both"/>
            </w:pPr>
            <w:r>
              <w:t>C.S.</w:t>
            </w:r>
            <w:r>
              <w:t xml:space="preserve">H.B. 496 </w:t>
            </w:r>
            <w:r w:rsidRPr="008E7250">
              <w:t>requires TEA</w:t>
            </w:r>
            <w:r>
              <w:t>, not later than October 1, 2019,</w:t>
            </w:r>
            <w:r w:rsidRPr="008E7250">
              <w:t xml:space="preserve"> to approve appropriate training</w:t>
            </w:r>
            <w:r>
              <w:t xml:space="preserve"> </w:t>
            </w:r>
            <w:r>
              <w:t xml:space="preserve">in the use of a bleeding control </w:t>
            </w:r>
            <w:r>
              <w:t>station</w:t>
            </w:r>
            <w:r>
              <w:t>. The bill</w:t>
            </w:r>
            <w:r>
              <w:t xml:space="preserve"> authorizes TEA to approve </w:t>
            </w:r>
            <w:r>
              <w:t xml:space="preserve">for </w:t>
            </w:r>
            <w:r>
              <w:t>purposes of the personnel training requirement</w:t>
            </w:r>
            <w:r>
              <w:t xml:space="preserve"> </w:t>
            </w:r>
            <w:r>
              <w:t xml:space="preserve">a course of instruction </w:t>
            </w:r>
            <w:r>
              <w:t xml:space="preserve">that has been developed or endorsed </w:t>
            </w:r>
            <w:r>
              <w:t>by</w:t>
            </w:r>
            <w:r>
              <w:t xml:space="preserve"> the American College of Surgeons or a similar organization</w:t>
            </w:r>
            <w:r>
              <w:t xml:space="preserve"> or </w:t>
            </w:r>
            <w:r>
              <w:t xml:space="preserve">by </w:t>
            </w:r>
            <w:r>
              <w:t>the emergency medicine department of a health-related institution of higher education or a hospital</w:t>
            </w:r>
            <w:r>
              <w:t xml:space="preserve">. </w:t>
            </w:r>
            <w:r>
              <w:t>The bill prohibits the course from being provided as an online course and sets out requir</w:t>
            </w:r>
            <w:r>
              <w:t xml:space="preserve">ements </w:t>
            </w:r>
            <w:r>
              <w:t>relating to</w:t>
            </w:r>
            <w:r>
              <w:t xml:space="preserve"> the </w:t>
            </w:r>
            <w:r>
              <w:t xml:space="preserve">course </w:t>
            </w:r>
            <w:r>
              <w:t>contents and instructor</w:t>
            </w:r>
            <w:r>
              <w:t xml:space="preserve"> qualification</w:t>
            </w:r>
            <w:r>
              <w:t xml:space="preserve">s. The bill </w:t>
            </w:r>
            <w:r>
              <w:t xml:space="preserve">expressly </w:t>
            </w:r>
            <w:r>
              <w:t xml:space="preserve">does not require the course to provide for certification in bleeding control, but if the course does provide for such certification, the instructor </w:t>
            </w:r>
            <w:r>
              <w:t>must</w:t>
            </w:r>
            <w:r>
              <w:t xml:space="preserve"> be authorized </w:t>
            </w:r>
            <w:r>
              <w:t>to provide the instruction for th</w:t>
            </w:r>
            <w:r>
              <w:t>at</w:t>
            </w:r>
            <w:r>
              <w:t xml:space="preserve"> purpose by the </w:t>
            </w:r>
            <w:r>
              <w:t xml:space="preserve">appropriate </w:t>
            </w:r>
            <w:r>
              <w:t xml:space="preserve">organization or institution. </w:t>
            </w:r>
            <w:r>
              <w:t xml:space="preserve">The bill </w:t>
            </w:r>
            <w:r>
              <w:t>grants</w:t>
            </w:r>
            <w:r>
              <w:t xml:space="preserve"> a district or charter school and </w:t>
            </w:r>
            <w:r>
              <w:t>the</w:t>
            </w:r>
            <w:r>
              <w:t xml:space="preserve"> district's or school's </w:t>
            </w:r>
            <w:r>
              <w:t>employee</w:t>
            </w:r>
            <w:r>
              <w:t>s</w:t>
            </w:r>
            <w:r>
              <w:t xml:space="preserve"> </w:t>
            </w:r>
            <w:r>
              <w:t>immunity</w:t>
            </w:r>
            <w:r>
              <w:t xml:space="preserve"> from civil liability </w:t>
            </w:r>
            <w:r>
              <w:t xml:space="preserve">for damages or injuries </w:t>
            </w:r>
            <w:r>
              <w:t xml:space="preserve">resulting from the good </w:t>
            </w:r>
            <w:r>
              <w:t xml:space="preserve">faith use of a bleeding control </w:t>
            </w:r>
            <w:r>
              <w:t xml:space="preserve">station </w:t>
            </w:r>
            <w:r>
              <w:t xml:space="preserve">to control the bleeding of an injured person, provided that </w:t>
            </w:r>
            <w:r>
              <w:t>the employee</w:t>
            </w:r>
            <w:r>
              <w:t xml:space="preserve"> </w:t>
            </w:r>
            <w:r>
              <w:t>did not act with gross negligence in th</w:t>
            </w:r>
            <w:r>
              <w:t>at</w:t>
            </w:r>
            <w:r>
              <w:t xml:space="preserve"> use.</w:t>
            </w:r>
            <w:r>
              <w:t xml:space="preserve"> </w:t>
            </w:r>
          </w:p>
          <w:p w:rsidR="00583E16" w:rsidRPr="00835628" w:rsidRDefault="005D63E2">
            <w:pPr>
              <w:pStyle w:val="Header"/>
              <w:jc w:val="both"/>
              <w:rPr>
                <w:b/>
              </w:rPr>
            </w:pPr>
          </w:p>
        </w:tc>
      </w:tr>
      <w:tr w:rsidR="00054BFB" w:rsidTr="00345119">
        <w:tc>
          <w:tcPr>
            <w:tcW w:w="9576" w:type="dxa"/>
          </w:tcPr>
          <w:p w:rsidR="008423E4" w:rsidRPr="00A8133F" w:rsidRDefault="005D63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63E2"/>
          <w:p w:rsidR="008423E4" w:rsidRPr="003624F2" w:rsidRDefault="005D6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</w:t>
            </w:r>
            <w:r>
              <w:t>1, 2019.</w:t>
            </w:r>
          </w:p>
          <w:p w:rsidR="008423E4" w:rsidRPr="00233FDB" w:rsidRDefault="005D63E2">
            <w:pPr>
              <w:rPr>
                <w:b/>
              </w:rPr>
            </w:pPr>
          </w:p>
        </w:tc>
      </w:tr>
      <w:tr w:rsidR="00054BFB" w:rsidTr="00345119">
        <w:tc>
          <w:tcPr>
            <w:tcW w:w="9576" w:type="dxa"/>
          </w:tcPr>
          <w:p w:rsidR="008860D9" w:rsidRDefault="005D63E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16E58" w:rsidRDefault="005D63E2">
            <w:pPr>
              <w:jc w:val="both"/>
            </w:pPr>
          </w:p>
          <w:p w:rsidR="00C16E58" w:rsidRDefault="005D63E2" w:rsidP="00672348">
            <w:pPr>
              <w:jc w:val="both"/>
            </w:pPr>
            <w:r>
              <w:t>While C.S.H.B. 496 may differ from the original in minor or nonsubstantive ways, the following summarizes the substantial differences between the introduced and committee substitute versions of the bill.</w:t>
            </w:r>
          </w:p>
          <w:p w:rsidR="00C16E58" w:rsidRDefault="005D63E2" w:rsidP="00672348">
            <w:pPr>
              <w:jc w:val="both"/>
            </w:pPr>
          </w:p>
          <w:p w:rsidR="00C16E58" w:rsidRDefault="005D63E2" w:rsidP="00672348">
            <w:pPr>
              <w:jc w:val="both"/>
            </w:pPr>
            <w:r>
              <w:t xml:space="preserve">The substitute changes </w:t>
            </w:r>
            <w:r>
              <w:t xml:space="preserve">references to a </w:t>
            </w:r>
            <w:r>
              <w:t xml:space="preserve">bleeding control kit to </w:t>
            </w:r>
            <w:r>
              <w:t xml:space="preserve">refer to a </w:t>
            </w:r>
            <w:r>
              <w:t xml:space="preserve">bleeding control station. </w:t>
            </w:r>
          </w:p>
          <w:p w:rsidR="00C16E58" w:rsidRDefault="005D63E2" w:rsidP="00672348">
            <w:pPr>
              <w:jc w:val="both"/>
            </w:pPr>
          </w:p>
          <w:p w:rsidR="006605E4" w:rsidRDefault="005D63E2" w:rsidP="00672348">
            <w:pPr>
              <w:jc w:val="both"/>
            </w:pPr>
            <w:r>
              <w:t xml:space="preserve">The substitute </w:t>
            </w:r>
            <w:r>
              <w:t xml:space="preserve">expands the requirement for a district to include </w:t>
            </w:r>
            <w:r w:rsidRPr="007032EA">
              <w:t xml:space="preserve">the use of bleeding control </w:t>
            </w:r>
            <w:r>
              <w:t>kits</w:t>
            </w:r>
            <w:r w:rsidRPr="007032EA">
              <w:t xml:space="preserve"> </w:t>
            </w:r>
            <w:r>
              <w:t>in the district's multihazard emergency operations progr</w:t>
            </w:r>
            <w:r>
              <w:t xml:space="preserve">am to </w:t>
            </w:r>
            <w:r>
              <w:t xml:space="preserve">require inclusion of the use of bleeding control stations in any security planning measure or protocol adopted by the district.  </w:t>
            </w:r>
          </w:p>
          <w:p w:rsidR="006605E4" w:rsidRDefault="005D63E2" w:rsidP="00672348">
            <w:pPr>
              <w:jc w:val="both"/>
            </w:pPr>
          </w:p>
          <w:p w:rsidR="00C16E58" w:rsidRDefault="005D63E2" w:rsidP="00672348">
            <w:pPr>
              <w:jc w:val="both"/>
            </w:pPr>
            <w:r>
              <w:t>The substitute includes a requirement for each student enrolled in grade seven or higher at a campus to receive instruc</w:t>
            </w:r>
            <w:r>
              <w:t xml:space="preserve">tion </w:t>
            </w:r>
            <w:r>
              <w:t xml:space="preserve">annually </w:t>
            </w:r>
            <w:r>
              <w:t>on the use of a bleeding control station</w:t>
            </w:r>
            <w:r>
              <w:t xml:space="preserve">, </w:t>
            </w:r>
            <w:r w:rsidRPr="00334EA8">
              <w:t xml:space="preserve">subject to certain </w:t>
            </w:r>
            <w:r>
              <w:t>exemptions</w:t>
            </w:r>
            <w:r>
              <w:t xml:space="preserve">. The substitute requires the commissioner of education to adopt </w:t>
            </w:r>
            <w:r>
              <w:t xml:space="preserve">certain </w:t>
            </w:r>
            <w:r>
              <w:t xml:space="preserve">guidelines regarding the </w:t>
            </w:r>
            <w:r>
              <w:t xml:space="preserve">student </w:t>
            </w:r>
            <w:r>
              <w:t xml:space="preserve">instruction. </w:t>
            </w:r>
          </w:p>
          <w:p w:rsidR="00C16E58" w:rsidRDefault="005D63E2" w:rsidP="00672348">
            <w:pPr>
              <w:jc w:val="both"/>
            </w:pPr>
          </w:p>
          <w:p w:rsidR="00C16E58" w:rsidRDefault="005D63E2" w:rsidP="00672348">
            <w:pPr>
              <w:jc w:val="both"/>
            </w:pPr>
            <w:r>
              <w:t>The substitute changes the required contents of th</w:t>
            </w:r>
            <w:r>
              <w:t xml:space="preserve">e first aid response kit contained in the bleeding control station. </w:t>
            </w:r>
          </w:p>
          <w:p w:rsidR="00C16E58" w:rsidRDefault="005D63E2" w:rsidP="00672348">
            <w:pPr>
              <w:jc w:val="both"/>
            </w:pPr>
          </w:p>
          <w:p w:rsidR="001B24CF" w:rsidRDefault="005D63E2" w:rsidP="00672348">
            <w:pPr>
              <w:jc w:val="both"/>
            </w:pPr>
            <w:r>
              <w:t>The substitute</w:t>
            </w:r>
            <w:r>
              <w:t xml:space="preserve"> makes the following changes</w:t>
            </w:r>
            <w:r>
              <w:t xml:space="preserve"> with regard to the personnel training requirements:</w:t>
            </w:r>
          </w:p>
          <w:p w:rsidR="001B24CF" w:rsidRDefault="005D63E2" w:rsidP="0067234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includes district peace officers, school security personnel, and school resource officers</w:t>
            </w:r>
            <w:r>
              <w:t xml:space="preserve"> w</w:t>
            </w:r>
            <w:r>
              <w:t>ho provide law enforcement</w:t>
            </w:r>
            <w:r>
              <w:t xml:space="preserve"> among the personnel required to receive</w:t>
            </w:r>
            <w:r>
              <w:t xml:space="preserve"> the</w:t>
            </w:r>
            <w:r>
              <w:t xml:space="preserve"> training;</w:t>
            </w:r>
          </w:p>
          <w:p w:rsidR="001B24CF" w:rsidRDefault="005D63E2" w:rsidP="0067234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changes the </w:t>
            </w:r>
            <w:r>
              <w:t>type of course that TEA may approve from</w:t>
            </w:r>
            <w:r>
              <w:t xml:space="preserve"> a course</w:t>
            </w:r>
            <w:r>
              <w:t xml:space="preserve"> provided</w:t>
            </w:r>
            <w:r>
              <w:t xml:space="preserve"> by the American College of Surgeons or </w:t>
            </w:r>
            <w:r>
              <w:t xml:space="preserve">a </w:t>
            </w:r>
            <w:r>
              <w:t xml:space="preserve">similar organization </w:t>
            </w:r>
            <w:r>
              <w:t>to</w:t>
            </w:r>
            <w:r>
              <w:t xml:space="preserve"> a course developed or endorsed by </w:t>
            </w:r>
            <w:r>
              <w:t xml:space="preserve">such </w:t>
            </w:r>
            <w:r>
              <w:t xml:space="preserve">an </w:t>
            </w:r>
            <w:r>
              <w:t>organization</w:t>
            </w:r>
            <w:r>
              <w:t xml:space="preserve"> or by the emergency medicine department of a health</w:t>
            </w:r>
            <w:r>
              <w:noBreakHyphen/>
            </w:r>
            <w:r>
              <w:t>related institution of higher education or a hospital</w:t>
            </w:r>
            <w:r>
              <w:t>;</w:t>
            </w:r>
          </w:p>
          <w:p w:rsidR="0055544E" w:rsidRDefault="005D63E2" w:rsidP="0067234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prohibits </w:t>
            </w:r>
            <w:r w:rsidRPr="00AB157C">
              <w:t>online provision</w:t>
            </w:r>
            <w:r>
              <w:t xml:space="preserve"> of </w:t>
            </w:r>
            <w:r>
              <w:t>the course; and</w:t>
            </w:r>
          </w:p>
          <w:p w:rsidR="00C16E58" w:rsidRDefault="005D63E2" w:rsidP="0067234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includes requirements relating to the course content and instructor qualifications. </w:t>
            </w:r>
          </w:p>
          <w:p w:rsidR="00C16E58" w:rsidRDefault="005D63E2" w:rsidP="00672348">
            <w:pPr>
              <w:jc w:val="both"/>
            </w:pPr>
          </w:p>
          <w:p w:rsidR="00C16E58" w:rsidRDefault="005D63E2" w:rsidP="00672348">
            <w:pPr>
              <w:jc w:val="both"/>
            </w:pPr>
            <w:r>
              <w:t xml:space="preserve">The substitute does not require a district or </w:t>
            </w:r>
            <w:r>
              <w:t xml:space="preserve">charter </w:t>
            </w:r>
            <w:r>
              <w:t xml:space="preserve">school employee to </w:t>
            </w:r>
            <w:r>
              <w:t xml:space="preserve">have </w:t>
            </w:r>
            <w:r>
              <w:t>receive</w:t>
            </w:r>
            <w:r>
              <w:t>d</w:t>
            </w:r>
            <w:r>
              <w:t xml:space="preserve"> the </w:t>
            </w:r>
            <w:r>
              <w:t xml:space="preserve">required </w:t>
            </w:r>
            <w:r>
              <w:t xml:space="preserve">training </w:t>
            </w:r>
            <w:r>
              <w:t>as a condition of the</w:t>
            </w:r>
            <w:r>
              <w:t xml:space="preserve"> </w:t>
            </w:r>
            <w:r>
              <w:t xml:space="preserve">immunity </w:t>
            </w:r>
            <w:r>
              <w:t xml:space="preserve">from civil liability </w:t>
            </w:r>
            <w:r>
              <w:t>granted by the bill</w:t>
            </w:r>
            <w:r>
              <w:t xml:space="preserve">. </w:t>
            </w:r>
          </w:p>
          <w:p w:rsidR="00C16E58" w:rsidRPr="00C16E58" w:rsidRDefault="005D63E2">
            <w:pPr>
              <w:jc w:val="both"/>
            </w:pPr>
          </w:p>
        </w:tc>
      </w:tr>
      <w:tr w:rsidR="00054BFB" w:rsidTr="00345119">
        <w:tc>
          <w:tcPr>
            <w:tcW w:w="9576" w:type="dxa"/>
          </w:tcPr>
          <w:p w:rsidR="008860D9" w:rsidRPr="009C1E9A" w:rsidRDefault="005D63E2">
            <w:pPr>
              <w:rPr>
                <w:b/>
                <w:u w:val="single"/>
              </w:rPr>
            </w:pPr>
          </w:p>
        </w:tc>
      </w:tr>
      <w:tr w:rsidR="00054BFB" w:rsidTr="00345119">
        <w:tc>
          <w:tcPr>
            <w:tcW w:w="9576" w:type="dxa"/>
          </w:tcPr>
          <w:p w:rsidR="008860D9" w:rsidRPr="008860D9" w:rsidRDefault="005D63E2" w:rsidP="00672348">
            <w:pPr>
              <w:jc w:val="both"/>
            </w:pPr>
          </w:p>
        </w:tc>
      </w:tr>
    </w:tbl>
    <w:p w:rsidR="008423E4" w:rsidRPr="00BE0E75" w:rsidRDefault="005D63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D63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63E2">
      <w:r>
        <w:separator/>
      </w:r>
    </w:p>
  </w:endnote>
  <w:endnote w:type="continuationSeparator" w:id="0">
    <w:p w:rsidR="00000000" w:rsidRDefault="005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6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4BFB" w:rsidTr="009C1E9A">
      <w:trPr>
        <w:cantSplit/>
      </w:trPr>
      <w:tc>
        <w:tcPr>
          <w:tcW w:w="0" w:type="pct"/>
        </w:tcPr>
        <w:p w:rsidR="00137D90" w:rsidRDefault="005D63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63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63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63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63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BFB" w:rsidTr="009C1E9A">
      <w:trPr>
        <w:cantSplit/>
      </w:trPr>
      <w:tc>
        <w:tcPr>
          <w:tcW w:w="0" w:type="pct"/>
        </w:tcPr>
        <w:p w:rsidR="00EC379B" w:rsidRDefault="005D63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63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28801</w:t>
          </w:r>
        </w:p>
      </w:tc>
      <w:tc>
        <w:tcPr>
          <w:tcW w:w="2453" w:type="pct"/>
        </w:tcPr>
        <w:p w:rsidR="00EC379B" w:rsidRDefault="005D63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19.112.1199</w:t>
          </w:r>
          <w:r>
            <w:fldChar w:fldCharType="end"/>
          </w:r>
        </w:p>
      </w:tc>
    </w:tr>
    <w:tr w:rsidR="00054BFB" w:rsidTr="009C1E9A">
      <w:trPr>
        <w:cantSplit/>
      </w:trPr>
      <w:tc>
        <w:tcPr>
          <w:tcW w:w="0" w:type="pct"/>
        </w:tcPr>
        <w:p w:rsidR="00EC379B" w:rsidRDefault="005D63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63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D63E2" w:rsidP="006D504F">
          <w:pPr>
            <w:pStyle w:val="Footer"/>
            <w:rPr>
              <w:rStyle w:val="PageNumber"/>
            </w:rPr>
          </w:pPr>
        </w:p>
        <w:p w:rsidR="00EC379B" w:rsidRDefault="005D63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B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63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63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63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63E2">
      <w:r>
        <w:separator/>
      </w:r>
    </w:p>
  </w:footnote>
  <w:footnote w:type="continuationSeparator" w:id="0">
    <w:p w:rsidR="00000000" w:rsidRDefault="005D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6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6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6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1E04"/>
    <w:multiLevelType w:val="hybridMultilevel"/>
    <w:tmpl w:val="6D76B262"/>
    <w:lvl w:ilvl="0" w:tplc="0FEE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05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89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0E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A9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66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45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0A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05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3481"/>
    <w:multiLevelType w:val="hybridMultilevel"/>
    <w:tmpl w:val="CAC8EFD8"/>
    <w:lvl w:ilvl="0" w:tplc="ACEC8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22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AE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E5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4E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8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6F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20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A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FB"/>
    <w:rsid w:val="00054BFB"/>
    <w:rsid w:val="005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94B94F-D649-4994-95CA-961A144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3E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E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E16"/>
    <w:rPr>
      <w:b/>
      <w:bCs/>
    </w:rPr>
  </w:style>
  <w:style w:type="paragraph" w:styleId="Revision">
    <w:name w:val="Revision"/>
    <w:hidden/>
    <w:uiPriority w:val="99"/>
    <w:semiHidden/>
    <w:rsid w:val="008471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5400</Characters>
  <Application>Microsoft Office Word</Application>
  <DocSecurity>4</DocSecurity>
  <Lines>115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HB00496 (Committee Report (Substituted))</vt:lpstr>
    </vt:vector>
  </TitlesOfParts>
  <Company>State of Texas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28801</dc:subject>
  <dc:creator>State of Texas</dc:creator>
  <dc:description>HB 496 by Gervin-Hawkins-(H)Public Education</dc:description>
  <cp:lastModifiedBy>Stacey Nicchio</cp:lastModifiedBy>
  <cp:revision>2</cp:revision>
  <cp:lastPrinted>2003-11-26T17:21:00Z</cp:lastPrinted>
  <dcterms:created xsi:type="dcterms:W3CDTF">2019-04-26T20:13:00Z</dcterms:created>
  <dcterms:modified xsi:type="dcterms:W3CDTF">2019-04-26T20:13:00Z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19.112.1199</vt:lpwstr>
  </property>
</Properties>
</file>