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0FB1" w:rsidTr="00345119">
        <w:tc>
          <w:tcPr>
            <w:tcW w:w="9576" w:type="dxa"/>
            <w:noWrap/>
          </w:tcPr>
          <w:p w:rsidR="008423E4" w:rsidRPr="0022177D" w:rsidRDefault="00296B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6B16" w:rsidP="008423E4">
      <w:pPr>
        <w:jc w:val="center"/>
      </w:pPr>
    </w:p>
    <w:p w:rsidR="008423E4" w:rsidRPr="00B31F0E" w:rsidRDefault="00296B16" w:rsidP="008423E4"/>
    <w:p w:rsidR="008423E4" w:rsidRPr="00742794" w:rsidRDefault="00296B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0FB1" w:rsidTr="00345119">
        <w:tc>
          <w:tcPr>
            <w:tcW w:w="9576" w:type="dxa"/>
          </w:tcPr>
          <w:p w:rsidR="008423E4" w:rsidRPr="00861995" w:rsidRDefault="00296B16" w:rsidP="00345119">
            <w:pPr>
              <w:jc w:val="right"/>
            </w:pPr>
            <w:r>
              <w:t>C.S.H.B. 548</w:t>
            </w:r>
          </w:p>
        </w:tc>
      </w:tr>
      <w:tr w:rsidR="003F0FB1" w:rsidTr="00345119">
        <w:tc>
          <w:tcPr>
            <w:tcW w:w="9576" w:type="dxa"/>
          </w:tcPr>
          <w:p w:rsidR="008423E4" w:rsidRPr="00861995" w:rsidRDefault="00296B16" w:rsidP="006D5C95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3F0FB1" w:rsidTr="00345119">
        <w:tc>
          <w:tcPr>
            <w:tcW w:w="9576" w:type="dxa"/>
          </w:tcPr>
          <w:p w:rsidR="008423E4" w:rsidRPr="00861995" w:rsidRDefault="00296B16" w:rsidP="00345119">
            <w:pPr>
              <w:jc w:val="right"/>
            </w:pPr>
            <w:r>
              <w:t>Public Education</w:t>
            </w:r>
          </w:p>
        </w:tc>
      </w:tr>
      <w:tr w:rsidR="003F0FB1" w:rsidTr="00345119">
        <w:tc>
          <w:tcPr>
            <w:tcW w:w="9576" w:type="dxa"/>
          </w:tcPr>
          <w:p w:rsidR="008423E4" w:rsidRDefault="00296B1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96B16" w:rsidP="008423E4">
      <w:pPr>
        <w:tabs>
          <w:tab w:val="right" w:pos="9360"/>
        </w:tabs>
      </w:pPr>
    </w:p>
    <w:p w:rsidR="008423E4" w:rsidRDefault="00296B16" w:rsidP="008423E4"/>
    <w:p w:rsidR="008423E4" w:rsidRDefault="00296B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0FB1" w:rsidTr="00345119">
        <w:tc>
          <w:tcPr>
            <w:tcW w:w="9576" w:type="dxa"/>
          </w:tcPr>
          <w:p w:rsidR="008423E4" w:rsidRPr="00A8133F" w:rsidRDefault="00296B16" w:rsidP="00DE39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6B16" w:rsidP="00DE39BC"/>
          <w:p w:rsidR="00ED2006" w:rsidRDefault="00296B16" w:rsidP="00DE3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>
              <w:t>,</w:t>
            </w:r>
            <w:r w:rsidRPr="003141F3">
              <w:t xml:space="preserve"> </w:t>
            </w:r>
            <w:r>
              <w:t xml:space="preserve">because </w:t>
            </w:r>
            <w:r>
              <w:t xml:space="preserve">the state </w:t>
            </w:r>
            <w:r w:rsidRPr="003141F3">
              <w:t xml:space="preserve">does not possess </w:t>
            </w:r>
            <w:r>
              <w:t xml:space="preserve">precise </w:t>
            </w:r>
            <w:r w:rsidRPr="003141F3">
              <w:t xml:space="preserve">grade level data </w:t>
            </w:r>
            <w:r>
              <w:t>with regard to</w:t>
            </w:r>
            <w:r w:rsidRPr="003141F3">
              <w:t xml:space="preserve"> truancy</w:t>
            </w:r>
            <w:r>
              <w:t>,</w:t>
            </w:r>
            <w:r>
              <w:t xml:space="preserve"> </w:t>
            </w:r>
            <w:r w:rsidRPr="003141F3">
              <w:t>policymakers</w:t>
            </w:r>
            <w:r>
              <w:t xml:space="preserve"> are prevented</w:t>
            </w:r>
            <w:r w:rsidRPr="003141F3">
              <w:t xml:space="preserve"> from making </w:t>
            </w:r>
            <w:r>
              <w:t xml:space="preserve">informed </w:t>
            </w:r>
            <w:r w:rsidRPr="003141F3">
              <w:t xml:space="preserve">assessments of </w:t>
            </w:r>
            <w:r>
              <w:t xml:space="preserve">the state's </w:t>
            </w:r>
            <w:r w:rsidRPr="003141F3">
              <w:t xml:space="preserve">truancy problems. </w:t>
            </w:r>
            <w:r>
              <w:t>C.S.</w:t>
            </w:r>
            <w:r w:rsidRPr="003141F3">
              <w:t>H</w:t>
            </w:r>
            <w:r>
              <w:t>.</w:t>
            </w:r>
            <w:r w:rsidRPr="003141F3">
              <w:t>B</w:t>
            </w:r>
            <w:r>
              <w:t>.</w:t>
            </w:r>
            <w:r w:rsidRPr="003141F3">
              <w:t xml:space="preserve"> 548 </w:t>
            </w:r>
            <w:r>
              <w:t>seeks to address these concerns by requiring public school districts and open</w:t>
            </w:r>
            <w:r>
              <w:noBreakHyphen/>
              <w:t>enrollment charter schools to report detailed truancy information through the Public</w:t>
            </w:r>
            <w:r>
              <w:t xml:space="preserve"> Education Information Management System.</w:t>
            </w:r>
          </w:p>
          <w:p w:rsidR="008423E4" w:rsidRPr="00E26B13" w:rsidRDefault="00296B16" w:rsidP="00DE39B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F0FB1" w:rsidTr="00345119">
        <w:tc>
          <w:tcPr>
            <w:tcW w:w="9576" w:type="dxa"/>
          </w:tcPr>
          <w:p w:rsidR="0017725B" w:rsidRDefault="00296B16" w:rsidP="00DE39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6B16" w:rsidP="00DE39BC">
            <w:pPr>
              <w:rPr>
                <w:b/>
                <w:u w:val="single"/>
              </w:rPr>
            </w:pPr>
          </w:p>
          <w:p w:rsidR="007174F7" w:rsidRPr="007174F7" w:rsidRDefault="00296B16" w:rsidP="00DE39B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96B16" w:rsidP="00DE39BC">
            <w:pPr>
              <w:rPr>
                <w:b/>
                <w:u w:val="single"/>
              </w:rPr>
            </w:pPr>
          </w:p>
        </w:tc>
      </w:tr>
      <w:tr w:rsidR="003F0FB1" w:rsidTr="00345119">
        <w:tc>
          <w:tcPr>
            <w:tcW w:w="9576" w:type="dxa"/>
          </w:tcPr>
          <w:p w:rsidR="008423E4" w:rsidRPr="00A8133F" w:rsidRDefault="00296B16" w:rsidP="00DE39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6B16" w:rsidP="00DE39BC"/>
          <w:p w:rsidR="007174F7" w:rsidRDefault="00296B16" w:rsidP="00DE3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 education in SECTION 1</w:t>
            </w:r>
            <w:r>
              <w:t xml:space="preserve"> of this bill.</w:t>
            </w:r>
          </w:p>
          <w:p w:rsidR="008423E4" w:rsidRPr="00E21FDC" w:rsidRDefault="00296B16" w:rsidP="00DE39BC">
            <w:pPr>
              <w:rPr>
                <w:b/>
              </w:rPr>
            </w:pPr>
          </w:p>
        </w:tc>
      </w:tr>
      <w:tr w:rsidR="003F0FB1" w:rsidTr="00345119">
        <w:tc>
          <w:tcPr>
            <w:tcW w:w="9576" w:type="dxa"/>
          </w:tcPr>
          <w:p w:rsidR="008423E4" w:rsidRPr="00A8133F" w:rsidRDefault="00296B16" w:rsidP="00DE39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6B16" w:rsidP="00DE39BC"/>
          <w:p w:rsidR="00ED2006" w:rsidRDefault="00296B16" w:rsidP="00DE39BC">
            <w:pPr>
              <w:pStyle w:val="Header"/>
              <w:jc w:val="both"/>
            </w:pPr>
            <w:r>
              <w:t>C.S.</w:t>
            </w:r>
            <w:r>
              <w:t xml:space="preserve">H.B. 548 amends the Education Code to require </w:t>
            </w:r>
            <w:r>
              <w:t>the commissioner of education</w:t>
            </w:r>
            <w:r>
              <w:t xml:space="preserve"> by rule to </w:t>
            </w:r>
            <w:r>
              <w:t xml:space="preserve">require each public </w:t>
            </w:r>
            <w:r w:rsidRPr="007174F7">
              <w:t>school district and open-enrollment charter school to report through the Public Education Information Management System information di</w:t>
            </w:r>
            <w:r w:rsidRPr="007174F7">
              <w:t>saggregated by campus and grade regarding</w:t>
            </w:r>
            <w:r>
              <w:t xml:space="preserve"> the </w:t>
            </w:r>
            <w:r>
              <w:t>following information:</w:t>
            </w:r>
          </w:p>
          <w:p w:rsidR="00ED2006" w:rsidRDefault="00296B16" w:rsidP="00DE39B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>number of children who are required to attend school and fail to attend school without excuse for 10 or more days or parts of days within a six-month period in the same school year</w:t>
            </w:r>
            <w:r>
              <w:t>;</w:t>
            </w:r>
          </w:p>
          <w:p w:rsidR="00ED2006" w:rsidRDefault="00296B16" w:rsidP="00DE39B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</w:t>
            </w:r>
            <w:r>
              <w:t xml:space="preserve">he </w:t>
            </w:r>
            <w:r>
              <w:t>number of students for whom the district initiates a truancy prevention measure</w:t>
            </w:r>
            <w:r>
              <w:t>;</w:t>
            </w:r>
            <w:r>
              <w:t xml:space="preserve"> and </w:t>
            </w:r>
          </w:p>
          <w:p w:rsidR="00ED2006" w:rsidRDefault="00296B16" w:rsidP="00DE39B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number of parents of students against whom an attendance officer or other appropriate school official has filed a complaint </w:t>
            </w:r>
            <w:r>
              <w:t>for contributing to nonattendance</w:t>
            </w:r>
            <w:r>
              <w:t xml:space="preserve">. </w:t>
            </w:r>
          </w:p>
          <w:p w:rsidR="004444F7" w:rsidRDefault="00296B16" w:rsidP="00DE39BC">
            <w:pPr>
              <w:pStyle w:val="Header"/>
              <w:jc w:val="both"/>
            </w:pPr>
          </w:p>
          <w:p w:rsidR="008423E4" w:rsidRDefault="00296B16" w:rsidP="00DE39BC">
            <w:pPr>
              <w:pStyle w:val="Header"/>
              <w:jc w:val="both"/>
            </w:pPr>
            <w:r>
              <w:t>C.</w:t>
            </w:r>
            <w:r>
              <w:t>S.H.B. 548</w:t>
            </w:r>
            <w:r>
              <w:t xml:space="preserve"> requires th</w:t>
            </w:r>
            <w:r>
              <w:t xml:space="preserve">e commissioner to adopt the required rules not later than January 1, 2020. </w:t>
            </w:r>
          </w:p>
          <w:p w:rsidR="008423E4" w:rsidRPr="00835628" w:rsidRDefault="00296B16" w:rsidP="00DE39BC">
            <w:pPr>
              <w:rPr>
                <w:b/>
              </w:rPr>
            </w:pPr>
          </w:p>
        </w:tc>
      </w:tr>
      <w:tr w:rsidR="003F0FB1" w:rsidTr="00345119">
        <w:tc>
          <w:tcPr>
            <w:tcW w:w="9576" w:type="dxa"/>
          </w:tcPr>
          <w:p w:rsidR="008423E4" w:rsidRPr="00A8133F" w:rsidRDefault="00296B16" w:rsidP="00DE39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6B16" w:rsidP="00DE39BC"/>
          <w:p w:rsidR="008423E4" w:rsidRPr="003624F2" w:rsidRDefault="00296B16" w:rsidP="00DE3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96B16" w:rsidP="00DE39BC">
            <w:pPr>
              <w:rPr>
                <w:b/>
              </w:rPr>
            </w:pPr>
          </w:p>
        </w:tc>
      </w:tr>
      <w:tr w:rsidR="003F0FB1" w:rsidTr="00345119">
        <w:tc>
          <w:tcPr>
            <w:tcW w:w="9576" w:type="dxa"/>
          </w:tcPr>
          <w:p w:rsidR="006D5C95" w:rsidRDefault="00296B16" w:rsidP="00DE39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833FD" w:rsidRDefault="00296B16" w:rsidP="00DE39BC">
            <w:pPr>
              <w:jc w:val="both"/>
            </w:pPr>
          </w:p>
          <w:p w:rsidR="00A833FD" w:rsidRDefault="00296B16" w:rsidP="00DE39BC">
            <w:pPr>
              <w:jc w:val="both"/>
            </w:pPr>
            <w:r>
              <w:t xml:space="preserve">While C.S.H.B. 548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A833FD" w:rsidRDefault="00296B16" w:rsidP="00DE39BC">
            <w:pPr>
              <w:jc w:val="both"/>
            </w:pPr>
          </w:p>
          <w:p w:rsidR="00A833FD" w:rsidRDefault="00296B16" w:rsidP="00DE39BC">
            <w:pPr>
              <w:jc w:val="both"/>
            </w:pPr>
            <w:r>
              <w:t xml:space="preserve">The substitute </w:t>
            </w:r>
            <w:r>
              <w:t>does not include the number of children who are required to attend school and fail to enroll</w:t>
            </w:r>
            <w:r>
              <w:t xml:space="preserve"> as required inform</w:t>
            </w:r>
            <w:r>
              <w:t>ation</w:t>
            </w:r>
            <w:r>
              <w:t>.</w:t>
            </w:r>
          </w:p>
          <w:p w:rsidR="00A833FD" w:rsidRPr="00A833FD" w:rsidRDefault="00296B16" w:rsidP="00DE39BC">
            <w:pPr>
              <w:jc w:val="both"/>
            </w:pPr>
          </w:p>
        </w:tc>
      </w:tr>
      <w:tr w:rsidR="003F0FB1" w:rsidTr="00345119">
        <w:tc>
          <w:tcPr>
            <w:tcW w:w="9576" w:type="dxa"/>
          </w:tcPr>
          <w:p w:rsidR="006D5C95" w:rsidRPr="009C1E9A" w:rsidRDefault="00296B16" w:rsidP="00DE39BC">
            <w:pPr>
              <w:rPr>
                <w:b/>
                <w:u w:val="single"/>
              </w:rPr>
            </w:pPr>
          </w:p>
        </w:tc>
      </w:tr>
      <w:tr w:rsidR="003F0FB1" w:rsidTr="00345119">
        <w:tc>
          <w:tcPr>
            <w:tcW w:w="9576" w:type="dxa"/>
          </w:tcPr>
          <w:p w:rsidR="006D5C95" w:rsidRPr="006D5C95" w:rsidRDefault="00296B16" w:rsidP="00DE39BC">
            <w:pPr>
              <w:jc w:val="both"/>
            </w:pPr>
          </w:p>
        </w:tc>
      </w:tr>
    </w:tbl>
    <w:p w:rsidR="008423E4" w:rsidRPr="00BE0E75" w:rsidRDefault="00296B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6B1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B16">
      <w:r>
        <w:separator/>
      </w:r>
    </w:p>
  </w:endnote>
  <w:endnote w:type="continuationSeparator" w:id="0">
    <w:p w:rsidR="00000000" w:rsidRDefault="0029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0FB1" w:rsidTr="009C1E9A">
      <w:trPr>
        <w:cantSplit/>
      </w:trPr>
      <w:tc>
        <w:tcPr>
          <w:tcW w:w="0" w:type="pct"/>
        </w:tcPr>
        <w:p w:rsidR="00137D90" w:rsidRDefault="00296B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6B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6B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6B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6B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FB1" w:rsidTr="009C1E9A">
      <w:trPr>
        <w:cantSplit/>
      </w:trPr>
      <w:tc>
        <w:tcPr>
          <w:tcW w:w="0" w:type="pct"/>
        </w:tcPr>
        <w:p w:rsidR="00EC379B" w:rsidRDefault="00296B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6B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22655</w:t>
          </w:r>
        </w:p>
      </w:tc>
      <w:tc>
        <w:tcPr>
          <w:tcW w:w="2453" w:type="pct"/>
        </w:tcPr>
        <w:p w:rsidR="00EC379B" w:rsidRDefault="00296B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19.87.360</w:t>
          </w:r>
          <w:r>
            <w:fldChar w:fldCharType="end"/>
          </w:r>
        </w:p>
      </w:tc>
    </w:tr>
    <w:tr w:rsidR="003F0FB1" w:rsidTr="009C1E9A">
      <w:trPr>
        <w:cantSplit/>
      </w:trPr>
      <w:tc>
        <w:tcPr>
          <w:tcW w:w="0" w:type="pct"/>
        </w:tcPr>
        <w:p w:rsidR="00EC379B" w:rsidRDefault="00296B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6B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20937</w:t>
          </w:r>
        </w:p>
      </w:tc>
      <w:tc>
        <w:tcPr>
          <w:tcW w:w="2453" w:type="pct"/>
        </w:tcPr>
        <w:p w:rsidR="00EC379B" w:rsidRDefault="00296B16" w:rsidP="006D504F">
          <w:pPr>
            <w:pStyle w:val="Footer"/>
            <w:rPr>
              <w:rStyle w:val="PageNumber"/>
            </w:rPr>
          </w:pPr>
        </w:p>
        <w:p w:rsidR="00EC379B" w:rsidRDefault="00296B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F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6B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6B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6B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B16">
      <w:r>
        <w:separator/>
      </w:r>
    </w:p>
  </w:footnote>
  <w:footnote w:type="continuationSeparator" w:id="0">
    <w:p w:rsidR="00000000" w:rsidRDefault="0029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48"/>
    <w:multiLevelType w:val="hybridMultilevel"/>
    <w:tmpl w:val="70A03AB4"/>
    <w:lvl w:ilvl="0" w:tplc="CF883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67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87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D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8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23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4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1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0A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1"/>
    <w:rsid w:val="00296B16"/>
    <w:rsid w:val="003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3FAFC-D7A0-4A45-BFA6-8DAE286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74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74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1921</Characters>
  <Application>Microsoft Office Word</Application>
  <DocSecurity>4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HB00548 (Committee Report (Substituted))</vt:lpstr>
    </vt:vector>
  </TitlesOfParts>
  <Company>State of Texas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22655</dc:subject>
  <dc:creator>State of Texas</dc:creator>
  <dc:description>HB 548 by Canales-(H)Public Education (Substitute Document Number: 86R 20937)</dc:description>
  <cp:lastModifiedBy>Erin Conway</cp:lastModifiedBy>
  <cp:revision>2</cp:revision>
  <cp:lastPrinted>2003-11-26T17:21:00Z</cp:lastPrinted>
  <dcterms:created xsi:type="dcterms:W3CDTF">2019-04-02T20:03:00Z</dcterms:created>
  <dcterms:modified xsi:type="dcterms:W3CDTF">2019-04-02T20:03:00Z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19.87.360</vt:lpwstr>
  </property>
</Properties>
</file>