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F1E5F" w:rsidTr="00345119">
        <w:tc>
          <w:tcPr>
            <w:tcW w:w="9576" w:type="dxa"/>
            <w:noWrap/>
          </w:tcPr>
          <w:p w:rsidR="008423E4" w:rsidRPr="0022177D" w:rsidRDefault="00D7328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7328E" w:rsidP="008423E4">
      <w:pPr>
        <w:jc w:val="center"/>
      </w:pPr>
    </w:p>
    <w:p w:rsidR="008423E4" w:rsidRPr="00B31F0E" w:rsidRDefault="00D7328E" w:rsidP="008423E4"/>
    <w:p w:rsidR="008423E4" w:rsidRPr="00742794" w:rsidRDefault="00D7328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F1E5F" w:rsidTr="00345119">
        <w:tc>
          <w:tcPr>
            <w:tcW w:w="9576" w:type="dxa"/>
          </w:tcPr>
          <w:p w:rsidR="008423E4" w:rsidRPr="00861995" w:rsidRDefault="00D7328E" w:rsidP="00345119">
            <w:pPr>
              <w:jc w:val="right"/>
            </w:pPr>
            <w:r>
              <w:t>C.S.H.B. 574</w:t>
            </w:r>
          </w:p>
        </w:tc>
      </w:tr>
      <w:tr w:rsidR="009F1E5F" w:rsidTr="00345119">
        <w:tc>
          <w:tcPr>
            <w:tcW w:w="9576" w:type="dxa"/>
          </w:tcPr>
          <w:p w:rsidR="008423E4" w:rsidRPr="00861995" w:rsidRDefault="00D7328E" w:rsidP="00E6683A">
            <w:pPr>
              <w:jc w:val="right"/>
            </w:pPr>
            <w:r>
              <w:t xml:space="preserve">By: </w:t>
            </w:r>
            <w:r>
              <w:t>Dutton</w:t>
            </w:r>
          </w:p>
        </w:tc>
      </w:tr>
      <w:tr w:rsidR="009F1E5F" w:rsidTr="00345119">
        <w:tc>
          <w:tcPr>
            <w:tcW w:w="9576" w:type="dxa"/>
          </w:tcPr>
          <w:p w:rsidR="008423E4" w:rsidRPr="00861995" w:rsidRDefault="00D7328E" w:rsidP="00345119">
            <w:pPr>
              <w:jc w:val="right"/>
            </w:pPr>
            <w:r>
              <w:t>Corrections</w:t>
            </w:r>
          </w:p>
        </w:tc>
      </w:tr>
      <w:tr w:rsidR="009F1E5F" w:rsidTr="00345119">
        <w:tc>
          <w:tcPr>
            <w:tcW w:w="9576" w:type="dxa"/>
          </w:tcPr>
          <w:p w:rsidR="008423E4" w:rsidRDefault="00D7328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7328E" w:rsidP="008423E4">
      <w:pPr>
        <w:tabs>
          <w:tab w:val="right" w:pos="9360"/>
        </w:tabs>
      </w:pPr>
    </w:p>
    <w:p w:rsidR="008423E4" w:rsidRDefault="00D7328E" w:rsidP="008423E4"/>
    <w:p w:rsidR="008423E4" w:rsidRDefault="00D7328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F1E5F" w:rsidTr="00345119">
        <w:tc>
          <w:tcPr>
            <w:tcW w:w="9576" w:type="dxa"/>
          </w:tcPr>
          <w:p w:rsidR="008423E4" w:rsidRPr="00A8133F" w:rsidRDefault="00D7328E" w:rsidP="00E24A9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7328E" w:rsidP="00E24A9B"/>
          <w:p w:rsidR="008423E4" w:rsidRDefault="00D7328E" w:rsidP="00E24A9B">
            <w:pPr>
              <w:pStyle w:val="Header"/>
              <w:jc w:val="both"/>
            </w:pPr>
            <w:r>
              <w:t xml:space="preserve">Concerns have been raised regarding the frequency with which </w:t>
            </w:r>
            <w:r>
              <w:t xml:space="preserve">some </w:t>
            </w:r>
            <w:r>
              <w:t xml:space="preserve">defendants who have successfully completed deferred adjudication community supervision </w:t>
            </w:r>
            <w:r>
              <w:t>are denied employment opportunities, professional licenses</w:t>
            </w:r>
            <w:r>
              <w:t>,</w:t>
            </w:r>
            <w:r>
              <w:t xml:space="preserve"> and</w:t>
            </w:r>
            <w:r>
              <w:t xml:space="preserve"> opportunities to acquire</w:t>
            </w:r>
            <w:r>
              <w:t xml:space="preserve"> housing.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 xml:space="preserve">. </w:t>
            </w:r>
            <w:r>
              <w:t>574</w:t>
            </w:r>
            <w:r>
              <w:t xml:space="preserve"> seeks to address this issue by</w:t>
            </w:r>
            <w:r>
              <w:t xml:space="preserve"> </w:t>
            </w:r>
            <w:r>
              <w:t xml:space="preserve">preventing the use of such </w:t>
            </w:r>
            <w:r>
              <w:t xml:space="preserve">successful completion </w:t>
            </w:r>
            <w:r>
              <w:t>as the basis for denying an</w:t>
            </w:r>
            <w:r>
              <w:t xml:space="preserve"> otherwise qualified</w:t>
            </w:r>
            <w:r>
              <w:t xml:space="preserve"> individual </w:t>
            </w:r>
            <w:r>
              <w:t>those opportunities</w:t>
            </w:r>
            <w:r>
              <w:t>.</w:t>
            </w:r>
          </w:p>
          <w:p w:rsidR="008423E4" w:rsidRPr="00E26B13" w:rsidRDefault="00D7328E" w:rsidP="00E24A9B">
            <w:pPr>
              <w:rPr>
                <w:b/>
              </w:rPr>
            </w:pPr>
          </w:p>
        </w:tc>
      </w:tr>
      <w:tr w:rsidR="009F1E5F" w:rsidTr="00345119">
        <w:tc>
          <w:tcPr>
            <w:tcW w:w="9576" w:type="dxa"/>
          </w:tcPr>
          <w:p w:rsidR="0017725B" w:rsidRDefault="00D7328E" w:rsidP="00E24A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7328E" w:rsidP="00E24A9B">
            <w:pPr>
              <w:rPr>
                <w:b/>
                <w:u w:val="single"/>
              </w:rPr>
            </w:pPr>
          </w:p>
          <w:p w:rsidR="00F01948" w:rsidRPr="00F01948" w:rsidRDefault="00D7328E" w:rsidP="00E24A9B">
            <w:pPr>
              <w:jc w:val="both"/>
            </w:pPr>
            <w:r>
              <w:t>It is the committee's opinion that this bill does not expressly create a criminal offense, increase the punishment for an exist</w:t>
            </w:r>
            <w:r>
              <w:t>ing criminal offense or category of offenses, or change the eligibility of a person for community supervision, parole, or mandatory supervision.</w:t>
            </w:r>
          </w:p>
          <w:p w:rsidR="0017725B" w:rsidRPr="0017725B" w:rsidRDefault="00D7328E" w:rsidP="00E24A9B">
            <w:pPr>
              <w:rPr>
                <w:b/>
                <w:u w:val="single"/>
              </w:rPr>
            </w:pPr>
          </w:p>
        </w:tc>
      </w:tr>
      <w:tr w:rsidR="009F1E5F" w:rsidTr="00345119">
        <w:tc>
          <w:tcPr>
            <w:tcW w:w="9576" w:type="dxa"/>
          </w:tcPr>
          <w:p w:rsidR="008423E4" w:rsidRPr="00A8133F" w:rsidRDefault="00D7328E" w:rsidP="00E24A9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7328E" w:rsidP="00E24A9B"/>
          <w:p w:rsidR="00F01948" w:rsidRDefault="00D7328E" w:rsidP="00E24A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304590" w:rsidRDefault="00D7328E" w:rsidP="00E24A9B">
            <w:pPr>
              <w:rPr>
                <w:b/>
                <w:sz w:val="22"/>
              </w:rPr>
            </w:pPr>
          </w:p>
        </w:tc>
      </w:tr>
      <w:tr w:rsidR="009F1E5F" w:rsidTr="00345119">
        <w:tc>
          <w:tcPr>
            <w:tcW w:w="9576" w:type="dxa"/>
          </w:tcPr>
          <w:p w:rsidR="008423E4" w:rsidRPr="00A8133F" w:rsidRDefault="00D7328E" w:rsidP="00E24A9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304590" w:rsidRDefault="00D7328E" w:rsidP="00E24A9B">
            <w:pPr>
              <w:rPr>
                <w:sz w:val="22"/>
              </w:rPr>
            </w:pPr>
          </w:p>
          <w:p w:rsidR="002510A5" w:rsidRDefault="00D7328E" w:rsidP="00E24A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574 amends the Code of Criminal Procedure to </w:t>
            </w:r>
            <w:r w:rsidRPr="00C826F7">
              <w:t xml:space="preserve">prohibit </w:t>
            </w:r>
            <w:r>
              <w:t xml:space="preserve">an offense for which a defendant received a </w:t>
            </w:r>
            <w:r w:rsidRPr="00C826F7">
              <w:t xml:space="preserve">dismissal and discharge on or before the expiration of the </w:t>
            </w:r>
            <w:r w:rsidRPr="00C826F7">
              <w:t>individual's deferred adjudication community supervision period from being used as grounds for</w:t>
            </w:r>
            <w:r>
              <w:t>:</w:t>
            </w:r>
            <w:r w:rsidRPr="00C826F7">
              <w:t xml:space="preserve"> </w:t>
            </w:r>
          </w:p>
          <w:p w:rsidR="002510A5" w:rsidRDefault="00D7328E" w:rsidP="00E24A9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/>
              <w:jc w:val="both"/>
            </w:pPr>
            <w:r w:rsidRPr="00C826F7">
              <w:t>denying housing</w:t>
            </w:r>
            <w:r>
              <w:t xml:space="preserve"> or</w:t>
            </w:r>
            <w:r w:rsidRPr="00C826F7">
              <w:t xml:space="preserve"> employment</w:t>
            </w:r>
            <w:r>
              <w:t xml:space="preserve"> to, or terminating the existing housing or employment of</w:t>
            </w:r>
            <w:r w:rsidRPr="00C826F7">
              <w:t xml:space="preserve">, </w:t>
            </w:r>
            <w:r>
              <w:t>an individual otherwise entitled to or qualified for the housing or emp</w:t>
            </w:r>
            <w:r>
              <w:t xml:space="preserve">loyment, </w:t>
            </w:r>
            <w:r w:rsidRPr="00C826F7">
              <w:t xml:space="preserve">or </w:t>
            </w:r>
          </w:p>
          <w:p w:rsidR="0081037F" w:rsidRDefault="00D7328E" w:rsidP="00E24A9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/>
              <w:jc w:val="both"/>
            </w:pPr>
            <w:r>
              <w:t>denying</w:t>
            </w:r>
            <w:r>
              <w:t xml:space="preserve"> issuance of</w:t>
            </w:r>
            <w:r>
              <w:t xml:space="preserve"> </w:t>
            </w:r>
            <w:r w:rsidRPr="00C826F7">
              <w:t xml:space="preserve">a professional </w:t>
            </w:r>
            <w:r>
              <w:t xml:space="preserve">or occupational </w:t>
            </w:r>
            <w:r w:rsidRPr="00C826F7">
              <w:t>license to</w:t>
            </w:r>
            <w:r>
              <w:t>, or suspending or revoking the professional or occupational license</w:t>
            </w:r>
            <w:r>
              <w:t xml:space="preserve"> of, an</w:t>
            </w:r>
            <w:r w:rsidRPr="00C826F7">
              <w:t xml:space="preserve"> individual otherwise entitled to or qualified for the license</w:t>
            </w:r>
            <w:r>
              <w:t xml:space="preserve">. </w:t>
            </w:r>
          </w:p>
          <w:p w:rsidR="008423E4" w:rsidRDefault="00D7328E" w:rsidP="00E24A9B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both"/>
            </w:pPr>
            <w:r>
              <w:t xml:space="preserve">The bill restricts the use of such </w:t>
            </w:r>
            <w:r>
              <w:t>an offe</w:t>
            </w:r>
            <w:r>
              <w:t xml:space="preserve">nse for which the defendant received </w:t>
            </w:r>
            <w:r>
              <w:t>a dismissal</w:t>
            </w:r>
            <w:r>
              <w:t xml:space="preserve"> and discharge </w:t>
            </w:r>
            <w:r>
              <w:t xml:space="preserve">to determining punishment for certain repeat and habitual felony offenders and to a purpose </w:t>
            </w:r>
            <w:r>
              <w:t>otherwise described</w:t>
            </w:r>
            <w:r>
              <w:t xml:space="preserve"> under statutory provisions relating to </w:t>
            </w:r>
            <w:r>
              <w:t xml:space="preserve">a dismissal or discharge from </w:t>
            </w:r>
            <w:r>
              <w:t>deferred adj</w:t>
            </w:r>
            <w:r>
              <w:t>udication community supervision</w:t>
            </w:r>
            <w:r w:rsidRPr="00CD5E9B">
              <w:t>.</w:t>
            </w:r>
            <w:r>
              <w:t xml:space="preserve"> </w:t>
            </w:r>
            <w:r>
              <w:t>The</w:t>
            </w:r>
            <w:r>
              <w:t xml:space="preserve"> bill</w:t>
            </w:r>
            <w:r>
              <w:t xml:space="preserve"> sets out c</w:t>
            </w:r>
            <w:r>
              <w:t xml:space="preserve">ertain </w:t>
            </w:r>
            <w:r>
              <w:t>exceptions under</w:t>
            </w:r>
            <w:r>
              <w:t xml:space="preserve"> which such a dismissal and discharge</w:t>
            </w:r>
            <w:r>
              <w:t xml:space="preserve"> may be used as grounds for denying or terminating housing or employment or for denying, suspending, or revoking a professional or occupational </w:t>
            </w:r>
            <w:r>
              <w:t>license</w:t>
            </w:r>
            <w:r>
              <w:t xml:space="preserve">.                          </w:t>
            </w:r>
          </w:p>
          <w:p w:rsidR="001E3D10" w:rsidRPr="00304590" w:rsidRDefault="00D7328E" w:rsidP="00E24A9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</w:tc>
      </w:tr>
      <w:tr w:rsidR="009F1E5F" w:rsidTr="00345119">
        <w:tc>
          <w:tcPr>
            <w:tcW w:w="9576" w:type="dxa"/>
          </w:tcPr>
          <w:p w:rsidR="008423E4" w:rsidRPr="00A8133F" w:rsidRDefault="00D7328E" w:rsidP="00E24A9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304590" w:rsidRDefault="00D7328E" w:rsidP="00E24A9B">
            <w:pPr>
              <w:rPr>
                <w:sz w:val="22"/>
              </w:rPr>
            </w:pPr>
          </w:p>
          <w:p w:rsidR="008423E4" w:rsidRPr="00D409A1" w:rsidRDefault="00D7328E" w:rsidP="00E24A9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16"/>
                <w:szCs w:val="16"/>
              </w:rPr>
            </w:pPr>
            <w:r>
              <w:t xml:space="preserve">September 1, 2019. </w:t>
            </w:r>
          </w:p>
          <w:p w:rsidR="008423E4" w:rsidRPr="00304590" w:rsidRDefault="00D7328E" w:rsidP="00E24A9B">
            <w:pPr>
              <w:rPr>
                <w:b/>
                <w:sz w:val="22"/>
                <w:szCs w:val="16"/>
              </w:rPr>
            </w:pPr>
          </w:p>
        </w:tc>
      </w:tr>
      <w:tr w:rsidR="009F1E5F" w:rsidTr="00345119">
        <w:tc>
          <w:tcPr>
            <w:tcW w:w="9576" w:type="dxa"/>
          </w:tcPr>
          <w:p w:rsidR="00E6683A" w:rsidRDefault="00D7328E" w:rsidP="00E24A9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82BBB" w:rsidRPr="00304590" w:rsidRDefault="00D7328E" w:rsidP="00E24A9B">
            <w:pPr>
              <w:jc w:val="both"/>
              <w:rPr>
                <w:sz w:val="22"/>
              </w:rPr>
            </w:pPr>
          </w:p>
          <w:p w:rsidR="00482BBB" w:rsidRDefault="00D7328E" w:rsidP="00E24A9B">
            <w:pPr>
              <w:jc w:val="both"/>
            </w:pPr>
            <w:r>
              <w:t>While C.S.H.B. 574 may differ from the original in minor or nonsubstantive ways, the following summarizes the substantial differences between</w:t>
            </w:r>
            <w:r>
              <w:t xml:space="preserve"> the introduced and committee substitute versions of the bill.</w:t>
            </w:r>
          </w:p>
          <w:p w:rsidR="00482BBB" w:rsidRDefault="00D7328E" w:rsidP="00E24A9B">
            <w:pPr>
              <w:jc w:val="both"/>
            </w:pPr>
          </w:p>
          <w:p w:rsidR="008A7CD9" w:rsidRDefault="00D7328E" w:rsidP="00E24A9B">
            <w:pPr>
              <w:jc w:val="both"/>
            </w:pPr>
            <w:r>
              <w:t>The substitute includes a prohibition against an offense for which the defendant received the dismissal and discharge being used as grounds for terminating existing housing or employment or fo</w:t>
            </w:r>
            <w:r>
              <w:t xml:space="preserve">r suspending or revoking </w:t>
            </w:r>
            <w:r>
              <w:t>a</w:t>
            </w:r>
            <w:r>
              <w:t xml:space="preserve"> professional license. </w:t>
            </w:r>
          </w:p>
          <w:p w:rsidR="008A7CD9" w:rsidRDefault="00D7328E" w:rsidP="00E24A9B">
            <w:pPr>
              <w:jc w:val="both"/>
            </w:pPr>
          </w:p>
          <w:p w:rsidR="00151CA4" w:rsidRDefault="00D7328E" w:rsidP="00E24A9B">
            <w:pPr>
              <w:jc w:val="both"/>
            </w:pPr>
            <w:r>
              <w:t>The substitute includes a prohibition against such an offense being used as grounds for denying</w:t>
            </w:r>
            <w:r>
              <w:t xml:space="preserve">, </w:t>
            </w:r>
            <w:r>
              <w:t>suspending</w:t>
            </w:r>
            <w:r>
              <w:t>,</w:t>
            </w:r>
            <w:r>
              <w:t xml:space="preserve"> or revoking </w:t>
            </w:r>
            <w:r>
              <w:t>an</w:t>
            </w:r>
            <w:r>
              <w:t xml:space="preserve"> occupational license.</w:t>
            </w:r>
          </w:p>
          <w:p w:rsidR="00151CA4" w:rsidRDefault="00D7328E" w:rsidP="00E24A9B">
            <w:pPr>
              <w:jc w:val="both"/>
            </w:pPr>
          </w:p>
          <w:p w:rsidR="00482BBB" w:rsidRPr="00482BBB" w:rsidRDefault="00D7328E" w:rsidP="00E24A9B">
            <w:pPr>
              <w:jc w:val="both"/>
            </w:pPr>
            <w:r>
              <w:t xml:space="preserve">The substitute includes certain exceptions </w:t>
            </w:r>
            <w:r>
              <w:t>under</w:t>
            </w:r>
            <w:r w:rsidRPr="00EF732C">
              <w:t xml:space="preserve"> which suc</w:t>
            </w:r>
            <w:r w:rsidRPr="00EF732C">
              <w:t xml:space="preserve">h </w:t>
            </w:r>
            <w:r>
              <w:t>a</w:t>
            </w:r>
            <w:r w:rsidRPr="00EF732C">
              <w:t xml:space="preserve"> dismissal and discharge may be used as grounds for denying or terminating housing or employment or for denying, suspending, or revoking a professional or occupational license</w:t>
            </w:r>
            <w:r>
              <w:t>.</w:t>
            </w:r>
          </w:p>
        </w:tc>
      </w:tr>
      <w:tr w:rsidR="009F1E5F" w:rsidTr="00345119">
        <w:tc>
          <w:tcPr>
            <w:tcW w:w="9576" w:type="dxa"/>
          </w:tcPr>
          <w:p w:rsidR="00E6683A" w:rsidRPr="009C1E9A" w:rsidRDefault="00D7328E" w:rsidP="00E24A9B">
            <w:pPr>
              <w:rPr>
                <w:b/>
                <w:u w:val="single"/>
              </w:rPr>
            </w:pPr>
          </w:p>
        </w:tc>
      </w:tr>
      <w:tr w:rsidR="009F1E5F" w:rsidTr="00345119">
        <w:tc>
          <w:tcPr>
            <w:tcW w:w="9576" w:type="dxa"/>
          </w:tcPr>
          <w:p w:rsidR="00E6683A" w:rsidRPr="00E6683A" w:rsidRDefault="00D7328E" w:rsidP="00E24A9B">
            <w:pPr>
              <w:jc w:val="both"/>
            </w:pPr>
          </w:p>
        </w:tc>
      </w:tr>
    </w:tbl>
    <w:p w:rsidR="004108C3" w:rsidRPr="008423E4" w:rsidRDefault="00D7328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7328E">
      <w:r>
        <w:separator/>
      </w:r>
    </w:p>
  </w:endnote>
  <w:endnote w:type="continuationSeparator" w:id="0">
    <w:p w:rsidR="00000000" w:rsidRDefault="00D7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3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F1E5F" w:rsidTr="009C1E9A">
      <w:trPr>
        <w:cantSplit/>
      </w:trPr>
      <w:tc>
        <w:tcPr>
          <w:tcW w:w="0" w:type="pct"/>
        </w:tcPr>
        <w:p w:rsidR="00137D90" w:rsidRDefault="00D732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7328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7328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732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732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F1E5F" w:rsidTr="009C1E9A">
      <w:trPr>
        <w:cantSplit/>
      </w:trPr>
      <w:tc>
        <w:tcPr>
          <w:tcW w:w="0" w:type="pct"/>
        </w:tcPr>
        <w:p w:rsidR="00EC379B" w:rsidRDefault="00D732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7328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27366</w:t>
          </w:r>
        </w:p>
      </w:tc>
      <w:tc>
        <w:tcPr>
          <w:tcW w:w="2453" w:type="pct"/>
        </w:tcPr>
        <w:p w:rsidR="00EC379B" w:rsidRDefault="00D732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19.105.626</w:t>
          </w:r>
          <w:r>
            <w:fldChar w:fldCharType="end"/>
          </w:r>
        </w:p>
      </w:tc>
    </w:tr>
    <w:tr w:rsidR="009F1E5F" w:rsidTr="009C1E9A">
      <w:trPr>
        <w:cantSplit/>
      </w:trPr>
      <w:tc>
        <w:tcPr>
          <w:tcW w:w="0" w:type="pct"/>
        </w:tcPr>
        <w:p w:rsidR="00EC379B" w:rsidRDefault="00D7328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7328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19407</w:t>
          </w:r>
        </w:p>
      </w:tc>
      <w:tc>
        <w:tcPr>
          <w:tcW w:w="2453" w:type="pct"/>
        </w:tcPr>
        <w:p w:rsidR="00EC379B" w:rsidRDefault="00D7328E" w:rsidP="006D504F">
          <w:pPr>
            <w:pStyle w:val="Footer"/>
            <w:rPr>
              <w:rStyle w:val="PageNumber"/>
            </w:rPr>
          </w:pPr>
        </w:p>
        <w:p w:rsidR="00EC379B" w:rsidRDefault="00D732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F1E5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7328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D7328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7328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3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7328E">
      <w:r>
        <w:separator/>
      </w:r>
    </w:p>
  </w:footnote>
  <w:footnote w:type="continuationSeparator" w:id="0">
    <w:p w:rsidR="00000000" w:rsidRDefault="00D73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32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32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3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2740D"/>
    <w:multiLevelType w:val="hybridMultilevel"/>
    <w:tmpl w:val="CDAAAE8A"/>
    <w:lvl w:ilvl="0" w:tplc="8904F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0678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BC97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7266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062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8E13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88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2D9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107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5F"/>
    <w:rsid w:val="009F1E5F"/>
    <w:rsid w:val="00D7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11F711-C05D-4926-B472-CECB2ED1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019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1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19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1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1948"/>
    <w:rPr>
      <w:b/>
      <w:bCs/>
    </w:rPr>
  </w:style>
  <w:style w:type="paragraph" w:styleId="Revision">
    <w:name w:val="Revision"/>
    <w:hidden/>
    <w:uiPriority w:val="99"/>
    <w:semiHidden/>
    <w:rsid w:val="00482B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2666</Characters>
  <Application>Microsoft Office Word</Application>
  <DocSecurity>4</DocSecurity>
  <Lines>69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HB00574 (Committee Report (Substituted))</vt:lpstr>
    </vt:vector>
  </TitlesOfParts>
  <Company>State of Texas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27366</dc:subject>
  <dc:creator>State of Texas</dc:creator>
  <dc:description>HB 574 by Dutton-(H)Corrections (Substitute Document Number: 86R 19407)</dc:description>
  <cp:lastModifiedBy>Stacey Nicchio</cp:lastModifiedBy>
  <cp:revision>2</cp:revision>
  <cp:lastPrinted>2003-11-26T17:21:00Z</cp:lastPrinted>
  <dcterms:created xsi:type="dcterms:W3CDTF">2019-04-17T00:10:00Z</dcterms:created>
  <dcterms:modified xsi:type="dcterms:W3CDTF">2019-04-17T00:10:00Z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19.105.626</vt:lpwstr>
  </property>
</Properties>
</file>