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4F9" w:rsidRDefault="00331BB0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85183" w:rsidTr="00345119">
        <w:tc>
          <w:tcPr>
            <w:tcW w:w="9576" w:type="dxa"/>
            <w:noWrap/>
          </w:tcPr>
          <w:p w:rsidR="008423E4" w:rsidRPr="0022177D" w:rsidRDefault="00331BB0" w:rsidP="00345119">
            <w:pPr>
              <w:pStyle w:val="Heading1"/>
            </w:pPr>
            <w:r w:rsidRPr="00631897">
              <w:t>BILL ANALYSIS</w:t>
            </w:r>
          </w:p>
        </w:tc>
      </w:tr>
    </w:tbl>
    <w:p w:rsidR="008423E4" w:rsidRPr="0022177D" w:rsidRDefault="00331BB0" w:rsidP="008423E4">
      <w:pPr>
        <w:jc w:val="center"/>
      </w:pPr>
    </w:p>
    <w:p w:rsidR="008423E4" w:rsidRPr="00B31F0E" w:rsidRDefault="00331BB0" w:rsidP="008423E4"/>
    <w:p w:rsidR="008423E4" w:rsidRPr="00742794" w:rsidRDefault="00331BB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85183" w:rsidTr="00345119">
        <w:tc>
          <w:tcPr>
            <w:tcW w:w="9576" w:type="dxa"/>
          </w:tcPr>
          <w:p w:rsidR="008423E4" w:rsidRPr="00861995" w:rsidRDefault="00331BB0" w:rsidP="004529DA">
            <w:pPr>
              <w:jc w:val="right"/>
            </w:pPr>
            <w:r>
              <w:t>H.B. 601</w:t>
            </w:r>
          </w:p>
        </w:tc>
      </w:tr>
      <w:tr w:rsidR="00785183" w:rsidTr="00345119">
        <w:tc>
          <w:tcPr>
            <w:tcW w:w="9576" w:type="dxa"/>
          </w:tcPr>
          <w:p w:rsidR="008423E4" w:rsidRPr="00861995" w:rsidRDefault="00331BB0" w:rsidP="004529DA">
            <w:pPr>
              <w:jc w:val="right"/>
            </w:pPr>
            <w:r>
              <w:t xml:space="preserve">By: </w:t>
            </w:r>
            <w:r>
              <w:t>Price</w:t>
            </w:r>
          </w:p>
        </w:tc>
      </w:tr>
      <w:tr w:rsidR="00785183" w:rsidTr="00345119">
        <w:tc>
          <w:tcPr>
            <w:tcW w:w="9576" w:type="dxa"/>
          </w:tcPr>
          <w:p w:rsidR="008423E4" w:rsidRPr="00861995" w:rsidRDefault="00331BB0" w:rsidP="00345119">
            <w:pPr>
              <w:jc w:val="right"/>
            </w:pPr>
            <w:r>
              <w:t>Criminal Jurisprudence</w:t>
            </w:r>
          </w:p>
        </w:tc>
      </w:tr>
      <w:tr w:rsidR="00785183" w:rsidTr="00345119">
        <w:tc>
          <w:tcPr>
            <w:tcW w:w="9576" w:type="dxa"/>
          </w:tcPr>
          <w:p w:rsidR="008423E4" w:rsidRDefault="00331BB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31BB0" w:rsidP="008423E4">
      <w:pPr>
        <w:tabs>
          <w:tab w:val="right" w:pos="9360"/>
        </w:tabs>
      </w:pPr>
    </w:p>
    <w:p w:rsidR="008423E4" w:rsidRDefault="00331BB0" w:rsidP="008423E4"/>
    <w:p w:rsidR="008423E4" w:rsidRDefault="00331BB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85183" w:rsidTr="00345119">
        <w:tc>
          <w:tcPr>
            <w:tcW w:w="9576" w:type="dxa"/>
          </w:tcPr>
          <w:p w:rsidR="008423E4" w:rsidRPr="00A8133F" w:rsidRDefault="00331BB0" w:rsidP="000430F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31BB0" w:rsidP="000430FE"/>
          <w:p w:rsidR="009B05F8" w:rsidRDefault="00331BB0" w:rsidP="000430FE">
            <w:pPr>
              <w:pStyle w:val="Header"/>
              <w:jc w:val="both"/>
            </w:pPr>
            <w:r>
              <w:t xml:space="preserve">Recent reports indicate the need to revise </w:t>
            </w:r>
            <w:r>
              <w:t xml:space="preserve">early identification procedures for </w:t>
            </w:r>
            <w:r>
              <w:t>criminal defendants who m</w:t>
            </w:r>
            <w:r>
              <w:t>ay have</w:t>
            </w:r>
            <w:r>
              <w:t xml:space="preserve"> a</w:t>
            </w:r>
            <w:r>
              <w:t xml:space="preserve"> </w:t>
            </w:r>
            <w:r>
              <w:t xml:space="preserve">mental illness or </w:t>
            </w:r>
            <w:r>
              <w:t>intellectual disabilit</w:t>
            </w:r>
            <w:r>
              <w:t>y</w:t>
            </w:r>
            <w:r>
              <w:t>. H.B. 601 seeks to address this need by</w:t>
            </w:r>
            <w:r>
              <w:t xml:space="preserve"> requiring the applicable mental health or disability authority to</w:t>
            </w:r>
            <w:r>
              <w:t xml:space="preserve"> interview</w:t>
            </w:r>
            <w:r>
              <w:t xml:space="preserve"> and collect information regarding such a defendant</w:t>
            </w:r>
            <w:r>
              <w:t xml:space="preserve"> and </w:t>
            </w:r>
            <w:r>
              <w:t xml:space="preserve">submit a </w:t>
            </w:r>
            <w:r>
              <w:t xml:space="preserve">report </w:t>
            </w:r>
            <w:r>
              <w:t>of the interview and information to the appli</w:t>
            </w:r>
            <w:r>
              <w:t>cable magistrate.</w:t>
            </w:r>
          </w:p>
          <w:p w:rsidR="008423E4" w:rsidRPr="00E26B13" w:rsidRDefault="00331BB0" w:rsidP="000430FE">
            <w:pPr>
              <w:pStyle w:val="Header"/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785183" w:rsidTr="00345119">
        <w:tc>
          <w:tcPr>
            <w:tcW w:w="9576" w:type="dxa"/>
          </w:tcPr>
          <w:p w:rsidR="0017725B" w:rsidRDefault="00331BB0" w:rsidP="000430F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31BB0" w:rsidP="000430FE">
            <w:pPr>
              <w:rPr>
                <w:b/>
                <w:u w:val="single"/>
              </w:rPr>
            </w:pPr>
          </w:p>
          <w:p w:rsidR="00E0717B" w:rsidRPr="00E0717B" w:rsidRDefault="00331BB0" w:rsidP="000430F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</w:t>
            </w:r>
            <w:r>
              <w:t xml:space="preserve"> for community supervision, parole, or mandatory supervision.</w:t>
            </w:r>
          </w:p>
          <w:p w:rsidR="0017725B" w:rsidRPr="0017725B" w:rsidRDefault="00331BB0" w:rsidP="000430FE">
            <w:pPr>
              <w:rPr>
                <w:b/>
                <w:u w:val="single"/>
              </w:rPr>
            </w:pPr>
          </w:p>
        </w:tc>
      </w:tr>
      <w:tr w:rsidR="00785183" w:rsidTr="00345119">
        <w:tc>
          <w:tcPr>
            <w:tcW w:w="9576" w:type="dxa"/>
          </w:tcPr>
          <w:p w:rsidR="008423E4" w:rsidRPr="00A8133F" w:rsidRDefault="00331BB0" w:rsidP="000430F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31BB0" w:rsidP="000430FE"/>
          <w:p w:rsidR="00024E28" w:rsidRDefault="00331BB0" w:rsidP="000430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024E28">
              <w:t>Texas Judicial Council</w:t>
            </w:r>
            <w:r>
              <w:t xml:space="preserve"> in SECTION 2 of this bill.</w:t>
            </w:r>
          </w:p>
          <w:p w:rsidR="008423E4" w:rsidRPr="00E21FDC" w:rsidRDefault="00331BB0" w:rsidP="000430FE">
            <w:pPr>
              <w:rPr>
                <w:b/>
              </w:rPr>
            </w:pPr>
          </w:p>
        </w:tc>
      </w:tr>
      <w:tr w:rsidR="00785183" w:rsidTr="00345119">
        <w:tc>
          <w:tcPr>
            <w:tcW w:w="9576" w:type="dxa"/>
          </w:tcPr>
          <w:p w:rsidR="008423E4" w:rsidRPr="00A8133F" w:rsidRDefault="00331BB0" w:rsidP="000430F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31BB0" w:rsidP="000430FE"/>
          <w:p w:rsidR="0050432F" w:rsidRDefault="00331BB0" w:rsidP="000430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601 </w:t>
            </w:r>
            <w:r>
              <w:t xml:space="preserve">reenacts </w:t>
            </w:r>
            <w:r>
              <w:t xml:space="preserve">and amends </w:t>
            </w:r>
            <w:r w:rsidRPr="008F6F2E">
              <w:t>Article 16.22(a), Code of Criminal Procedure, as amended by Chapters 748 (S.B. 1326) and 950 (S.B. 1849), Acts of the 85th Legislature, Regular Session, 2017</w:t>
            </w:r>
            <w:r>
              <w:t>, to conform to changes made by</w:t>
            </w:r>
            <w:r>
              <w:t xml:space="preserve"> the former act</w:t>
            </w:r>
            <w:r>
              <w:t xml:space="preserve"> </w:t>
            </w:r>
            <w:r>
              <w:t xml:space="preserve">relating to the </w:t>
            </w:r>
            <w:r w:rsidRPr="00B92573">
              <w:t xml:space="preserve">early identification of </w:t>
            </w:r>
            <w:r>
              <w:t>a</w:t>
            </w:r>
            <w:r>
              <w:t xml:space="preserve"> </w:t>
            </w:r>
            <w:r w:rsidRPr="00B92573">
              <w:t>defendant suspected of having mental illness or intellectual disability</w:t>
            </w:r>
            <w:r>
              <w:t>. The bill</w:t>
            </w:r>
            <w:r>
              <w:t>, with respect to such a defendant:</w:t>
            </w:r>
          </w:p>
          <w:p w:rsidR="0050432F" w:rsidRDefault="00331BB0" w:rsidP="000430FE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require</w:t>
            </w:r>
            <w:r>
              <w:t>s</w:t>
            </w:r>
            <w:r>
              <w:t xml:space="preserve"> </w:t>
            </w:r>
            <w:r>
              <w:t xml:space="preserve">the magistrate to order </w:t>
            </w:r>
            <w:r>
              <w:t>a</w:t>
            </w:r>
            <w:r>
              <w:t xml:space="preserve"> </w:t>
            </w:r>
            <w:r w:rsidRPr="00B92573">
              <w:t>mental health authority, intellectual and developmental disability authority, or mental health or intel</w:t>
            </w:r>
            <w:r w:rsidRPr="00B92573">
              <w:t>lectual disability expert</w:t>
            </w:r>
            <w:r>
              <w:t xml:space="preserve"> </w:t>
            </w:r>
            <w:r>
              <w:t xml:space="preserve">to interview </w:t>
            </w:r>
            <w:r>
              <w:t>certain criminal</w:t>
            </w:r>
            <w:r w:rsidRPr="00B92573">
              <w:t xml:space="preserve"> defendant</w:t>
            </w:r>
            <w:r>
              <w:t>s</w:t>
            </w:r>
            <w:r w:rsidRPr="00B92573">
              <w:t xml:space="preserve"> </w:t>
            </w:r>
            <w:r>
              <w:t xml:space="preserve">with regard to whether the defendant </w:t>
            </w:r>
            <w:r w:rsidRPr="00B92573">
              <w:t>has a mental illness</w:t>
            </w:r>
            <w:r>
              <w:t xml:space="preserve"> </w:t>
            </w:r>
            <w:r w:rsidRPr="00B92573">
              <w:t>or is a person with an intellectual disability</w:t>
            </w:r>
            <w:r>
              <w:t xml:space="preserve"> and to collect </w:t>
            </w:r>
            <w:r w:rsidRPr="00BC6D67">
              <w:t>information regarding any previously recommended</w:t>
            </w:r>
            <w:r>
              <w:t xml:space="preserve"> service</w:t>
            </w:r>
            <w:r>
              <w:t xml:space="preserve"> for the defe</w:t>
            </w:r>
            <w:r>
              <w:t>ndant</w:t>
            </w:r>
            <w:r>
              <w:t>, if applicable</w:t>
            </w:r>
            <w:r>
              <w:t xml:space="preserve">; </w:t>
            </w:r>
          </w:p>
          <w:p w:rsidR="0050432F" w:rsidRDefault="00331BB0" w:rsidP="000430FE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establishes</w:t>
            </w:r>
            <w:r>
              <w:t xml:space="preserve"> that the magistrate is not required to order such an interview if the defendant in the year preceding the defendant's applicable date of arrest has been determined to have a mental illness or to be a person with an intell</w:t>
            </w:r>
            <w:r>
              <w:t>ectual disability by such applicable authority or expert</w:t>
            </w:r>
            <w:r>
              <w:t>; and</w:t>
            </w:r>
          </w:p>
          <w:p w:rsidR="00EB2409" w:rsidRDefault="00331BB0" w:rsidP="000430FE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include</w:t>
            </w:r>
            <w:r>
              <w:t>s</w:t>
            </w:r>
            <w:r>
              <w:t xml:space="preserve"> </w:t>
            </w:r>
            <w:r>
              <w:t>a defendant</w:t>
            </w:r>
            <w:r>
              <w:t>'s</w:t>
            </w:r>
            <w:r>
              <w:t xml:space="preserve"> </w:t>
            </w:r>
            <w:r>
              <w:t xml:space="preserve">failure or refusal to submit to an interview as a </w:t>
            </w:r>
            <w:r>
              <w:t>trigger</w:t>
            </w:r>
            <w:r>
              <w:t xml:space="preserve"> for</w:t>
            </w:r>
            <w:r>
              <w:t xml:space="preserve"> the magistrate's </w:t>
            </w:r>
            <w:r>
              <w:t>authori</w:t>
            </w:r>
            <w:r>
              <w:t>ty</w:t>
            </w:r>
            <w:r>
              <w:t xml:space="preserve"> </w:t>
            </w:r>
            <w:r>
              <w:t xml:space="preserve">to </w:t>
            </w:r>
            <w:r>
              <w:t xml:space="preserve">submit </w:t>
            </w:r>
            <w:r>
              <w:t xml:space="preserve">the defendant </w:t>
            </w:r>
            <w:r>
              <w:t>to an examination in a</w:t>
            </w:r>
            <w:r>
              <w:t xml:space="preserve"> jail or another place determined to be appropriate </w:t>
            </w:r>
            <w:r>
              <w:t>by the applicable authority for a reasonable period not to exceed 72 hours.</w:t>
            </w:r>
            <w:r>
              <w:t xml:space="preserve"> </w:t>
            </w:r>
          </w:p>
          <w:p w:rsidR="00EB2409" w:rsidRDefault="00331BB0" w:rsidP="000430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A7310" w:rsidRPr="00FD100E" w:rsidRDefault="00331BB0" w:rsidP="000430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601 amends the </w:t>
            </w:r>
            <w:r>
              <w:t>Code of Criminal Procedure</w:t>
            </w:r>
            <w:r>
              <w:t xml:space="preserve"> to </w:t>
            </w:r>
            <w:r>
              <w:t xml:space="preserve">require </w:t>
            </w:r>
            <w:r>
              <w:t xml:space="preserve">the </w:t>
            </w:r>
            <w:r w:rsidRPr="009B7393">
              <w:t xml:space="preserve">Texas Judicial Council </w:t>
            </w:r>
            <w:r>
              <w:t xml:space="preserve">(TJC) </w:t>
            </w:r>
            <w:r>
              <w:t>to</w:t>
            </w:r>
            <w:r w:rsidRPr="009B7393">
              <w:t xml:space="preserve"> adopt rules </w:t>
            </w:r>
            <w:r>
              <w:t>requiring</w:t>
            </w:r>
            <w:r w:rsidRPr="009B7393">
              <w:t xml:space="preserve"> the reporting of</w:t>
            </w:r>
            <w:r>
              <w:t xml:space="preserve"> </w:t>
            </w:r>
            <w:r w:rsidRPr="0038293A">
              <w:t xml:space="preserve">the number of </w:t>
            </w:r>
            <w:r>
              <w:t xml:space="preserve">written </w:t>
            </w:r>
            <w:r>
              <w:t xml:space="preserve">reports </w:t>
            </w:r>
            <w:r>
              <w:t>on</w:t>
            </w:r>
            <w:r>
              <w:t xml:space="preserve"> such </w:t>
            </w:r>
            <w:r>
              <w:t>interview</w:t>
            </w:r>
            <w:r>
              <w:t>s and collection of information</w:t>
            </w:r>
            <w:r>
              <w:t xml:space="preserve"> </w:t>
            </w:r>
            <w:r>
              <w:t>relating to a criminal defendant who is or may be a person with a mental illness or an intellectual disability pro</w:t>
            </w:r>
            <w:r>
              <w:t xml:space="preserve">vided to </w:t>
            </w:r>
            <w:r>
              <w:t xml:space="preserve">the applicable </w:t>
            </w:r>
            <w:r w:rsidRPr="00712506">
              <w:t>court.</w:t>
            </w:r>
            <w:r>
              <w:t xml:space="preserve"> The bill </w:t>
            </w:r>
            <w:r>
              <w:t>remov</w:t>
            </w:r>
            <w:r>
              <w:t>es</w:t>
            </w:r>
            <w:r>
              <w:t xml:space="preserve"> </w:t>
            </w:r>
            <w:r>
              <w:t>the</w:t>
            </w:r>
            <w:r>
              <w:t xml:space="preserve"> requirement that each</w:t>
            </w:r>
            <w:r w:rsidRPr="0038293A">
              <w:t xml:space="preserve"> magistrate submit to the Office of Court Administration of the Texas Judicial System (OCA) </w:t>
            </w:r>
            <w:r>
              <w:t xml:space="preserve">the number of reports </w:t>
            </w:r>
            <w:r>
              <w:t xml:space="preserve">provided to the magistrate's court </w:t>
            </w:r>
            <w:r>
              <w:t xml:space="preserve">and requires </w:t>
            </w:r>
            <w:r>
              <w:t xml:space="preserve">that </w:t>
            </w:r>
            <w:r>
              <w:t>the</w:t>
            </w:r>
            <w:r>
              <w:t xml:space="preserve"> rules </w:t>
            </w:r>
            <w:r>
              <w:t xml:space="preserve">adopted by </w:t>
            </w:r>
            <w:r>
              <w:t xml:space="preserve">the </w:t>
            </w:r>
            <w:r>
              <w:t>TJC</w:t>
            </w:r>
            <w:r>
              <w:t xml:space="preserve"> </w:t>
            </w:r>
            <w:r>
              <w:t xml:space="preserve">instead </w:t>
            </w:r>
            <w:r>
              <w:t>re</w:t>
            </w:r>
            <w:r w:rsidRPr="0038293A">
              <w:t xml:space="preserve">quire submission of the reports to </w:t>
            </w:r>
            <w:r>
              <w:t>OCA</w:t>
            </w:r>
            <w:r w:rsidRPr="0038293A">
              <w:t>.</w:t>
            </w:r>
            <w:r>
              <w:t xml:space="preserve"> The bill establishes that such a report submitted to a magistrate </w:t>
            </w:r>
            <w:r w:rsidRPr="00B62D7C">
              <w:t>is confidential and not subject to disclosure under</w:t>
            </w:r>
            <w:r>
              <w:t xml:space="preserve"> </w:t>
            </w:r>
            <w:r>
              <w:rPr>
                <w:sz w:val="23"/>
                <w:szCs w:val="23"/>
              </w:rPr>
              <w:t xml:space="preserve">state public information law </w:t>
            </w:r>
            <w:r w:rsidRPr="00B62D7C">
              <w:rPr>
                <w:sz w:val="23"/>
                <w:szCs w:val="23"/>
              </w:rPr>
              <w:t xml:space="preserve">but may be used or disclosed as provided by </w:t>
            </w:r>
            <w:r>
              <w:rPr>
                <w:sz w:val="23"/>
                <w:szCs w:val="23"/>
              </w:rPr>
              <w:t>statutory provisions rela</w:t>
            </w:r>
            <w:r>
              <w:rPr>
                <w:sz w:val="23"/>
                <w:szCs w:val="23"/>
              </w:rPr>
              <w:t xml:space="preserve">ting to </w:t>
            </w:r>
            <w:r w:rsidRPr="00F06CE2">
              <w:rPr>
                <w:sz w:val="23"/>
                <w:szCs w:val="23"/>
              </w:rPr>
              <w:t xml:space="preserve">early identification of </w:t>
            </w:r>
            <w:r>
              <w:rPr>
                <w:sz w:val="23"/>
                <w:szCs w:val="23"/>
              </w:rPr>
              <w:t xml:space="preserve">a </w:t>
            </w:r>
            <w:r w:rsidRPr="00F06CE2">
              <w:rPr>
                <w:sz w:val="23"/>
                <w:szCs w:val="23"/>
              </w:rPr>
              <w:t>defendant suspected of having mental illness or intellectual disability.</w:t>
            </w:r>
            <w:r>
              <w:t xml:space="preserve"> The bill requires a county that </w:t>
            </w:r>
            <w:r w:rsidRPr="00A90418">
              <w:t>transfers a defendant to the Texas Department of Criminal Justice</w:t>
            </w:r>
            <w:r>
              <w:t xml:space="preserve"> for the commencement of the defendant's sentence to</w:t>
            </w:r>
            <w:r>
              <w:t xml:space="preserve"> deliver </w:t>
            </w:r>
            <w:r>
              <w:t>any such</w:t>
            </w:r>
            <w:r>
              <w:t xml:space="preserve"> report to a </w:t>
            </w:r>
            <w:r w:rsidRPr="00A90418">
              <w:t>designated officer</w:t>
            </w:r>
            <w:r>
              <w:t>.</w:t>
            </w:r>
          </w:p>
          <w:p w:rsidR="000264EB" w:rsidRDefault="00331BB0" w:rsidP="000430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264EB" w:rsidRDefault="00331BB0" w:rsidP="000430F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3"/>
                <w:szCs w:val="23"/>
              </w:rPr>
            </w:pPr>
            <w:r w:rsidRPr="00F32807">
              <w:t>H.B. 601</w:t>
            </w:r>
            <w:r>
              <w:t xml:space="preserve"> amends the Health and Safety Code to require the </w:t>
            </w:r>
            <w:r w:rsidRPr="008A7310">
              <w:t>Texas Correctional Office on Offenders with Medical or Mental Impairments</w:t>
            </w:r>
            <w:r>
              <w:t xml:space="preserve"> to approve and </w:t>
            </w:r>
            <w:r w:rsidRPr="008A7310">
              <w:t xml:space="preserve">make generally available in </w:t>
            </w:r>
            <w:r>
              <w:t xml:space="preserve">an </w:t>
            </w:r>
            <w:r w:rsidRPr="008A7310">
              <w:t>electronic format a standar</w:t>
            </w:r>
            <w:r w:rsidRPr="008A7310">
              <w:t xml:space="preserve">d form for use by </w:t>
            </w:r>
            <w:r>
              <w:t>an applicable</w:t>
            </w:r>
            <w:r w:rsidRPr="008A7310">
              <w:t xml:space="preserve"> person providing </w:t>
            </w:r>
            <w:r w:rsidRPr="00407A12">
              <w:t>a written report</w:t>
            </w:r>
            <w:r>
              <w:t xml:space="preserve"> </w:t>
            </w:r>
            <w:r w:rsidRPr="00407A12">
              <w:t>regarding whether a defendant has a mental illness or is a person with an intellectual disability</w:t>
            </w:r>
            <w:r>
              <w:t>.</w:t>
            </w:r>
          </w:p>
          <w:p w:rsidR="000264EB" w:rsidRDefault="00331BB0" w:rsidP="000430F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3"/>
                <w:szCs w:val="23"/>
              </w:rPr>
            </w:pPr>
          </w:p>
          <w:p w:rsidR="00FD100E" w:rsidRDefault="00331BB0" w:rsidP="000430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601 amends the Government Code to make conforming changes.</w:t>
            </w:r>
          </w:p>
          <w:p w:rsidR="000264EB" w:rsidRDefault="00331BB0" w:rsidP="000430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D100E" w:rsidRDefault="00331BB0" w:rsidP="000430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1707C">
              <w:t>H.B. 601 reenacts</w:t>
            </w:r>
            <w:r>
              <w:t xml:space="preserve"> </w:t>
            </w:r>
            <w:r>
              <w:t>and ame</w:t>
            </w:r>
            <w:r>
              <w:t xml:space="preserve">nds </w:t>
            </w:r>
            <w:r w:rsidRPr="00E1707C">
              <w:t>Articles 17.032(b) and (c), Code of Criminal Procedure, as amended by Chapters 748 (S.B. 1326) and 950 (S.B. 1849), Acts of the 85th Legislature, Regular Session</w:t>
            </w:r>
            <w:r>
              <w:t xml:space="preserve">, </w:t>
            </w:r>
            <w:r>
              <w:t xml:space="preserve">2017, </w:t>
            </w:r>
            <w:r w:rsidRPr="00695A38">
              <w:t xml:space="preserve">to conform to changes made by </w:t>
            </w:r>
            <w:r>
              <w:t>the former act a</w:t>
            </w:r>
            <w:r>
              <w:t>nd</w:t>
            </w:r>
            <w:r>
              <w:t xml:space="preserve"> changes made </w:t>
            </w:r>
            <w:r>
              <w:t>by the bill</w:t>
            </w:r>
            <w:r>
              <w:t>.</w:t>
            </w:r>
          </w:p>
          <w:p w:rsidR="00FD100E" w:rsidRPr="004C1058" w:rsidRDefault="00331BB0" w:rsidP="000430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785183" w:rsidTr="00345119">
        <w:tc>
          <w:tcPr>
            <w:tcW w:w="9576" w:type="dxa"/>
          </w:tcPr>
          <w:p w:rsidR="008423E4" w:rsidRPr="00A8133F" w:rsidRDefault="00331BB0" w:rsidP="000430F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31BB0" w:rsidP="000430FE"/>
          <w:p w:rsidR="008423E4" w:rsidRPr="003624F2" w:rsidRDefault="00331BB0" w:rsidP="000430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331BB0" w:rsidP="000430FE">
            <w:pPr>
              <w:rPr>
                <w:b/>
              </w:rPr>
            </w:pPr>
          </w:p>
        </w:tc>
      </w:tr>
    </w:tbl>
    <w:p w:rsidR="008423E4" w:rsidRPr="00BE0E75" w:rsidRDefault="00331BB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31BB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31BB0">
      <w:r>
        <w:separator/>
      </w:r>
    </w:p>
  </w:endnote>
  <w:endnote w:type="continuationSeparator" w:id="0">
    <w:p w:rsidR="00000000" w:rsidRDefault="0033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31B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85183" w:rsidTr="009C1E9A">
      <w:trPr>
        <w:cantSplit/>
      </w:trPr>
      <w:tc>
        <w:tcPr>
          <w:tcW w:w="0" w:type="pct"/>
        </w:tcPr>
        <w:p w:rsidR="00137D90" w:rsidRDefault="00331BB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31BB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31BB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31BB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31BB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85183" w:rsidTr="009C1E9A">
      <w:trPr>
        <w:cantSplit/>
      </w:trPr>
      <w:tc>
        <w:tcPr>
          <w:tcW w:w="0" w:type="pct"/>
        </w:tcPr>
        <w:p w:rsidR="00EC379B" w:rsidRDefault="00331BB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31BB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19814</w:t>
          </w:r>
        </w:p>
      </w:tc>
      <w:tc>
        <w:tcPr>
          <w:tcW w:w="2453" w:type="pct"/>
        </w:tcPr>
        <w:p w:rsidR="00EC379B" w:rsidRDefault="00331BB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19.73.616</w:t>
          </w:r>
          <w:r>
            <w:fldChar w:fldCharType="end"/>
          </w:r>
        </w:p>
      </w:tc>
    </w:tr>
    <w:tr w:rsidR="00785183" w:rsidTr="009C1E9A">
      <w:trPr>
        <w:cantSplit/>
      </w:trPr>
      <w:tc>
        <w:tcPr>
          <w:tcW w:w="0" w:type="pct"/>
        </w:tcPr>
        <w:p w:rsidR="00EC379B" w:rsidRDefault="00331BB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31BB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31BB0" w:rsidP="006D504F">
          <w:pPr>
            <w:pStyle w:val="Footer"/>
            <w:rPr>
              <w:rStyle w:val="PageNumber"/>
            </w:rPr>
          </w:pPr>
        </w:p>
        <w:p w:rsidR="00EC379B" w:rsidRDefault="00331BB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8518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31BB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331BB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31BB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31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31BB0">
      <w:r>
        <w:separator/>
      </w:r>
    </w:p>
  </w:footnote>
  <w:footnote w:type="continuationSeparator" w:id="0">
    <w:p w:rsidR="00000000" w:rsidRDefault="00331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31B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31B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31B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7036"/>
    <w:multiLevelType w:val="hybridMultilevel"/>
    <w:tmpl w:val="124A0642"/>
    <w:lvl w:ilvl="0" w:tplc="5E50B1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F8B2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6074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9663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C092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86C1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86CB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1243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56A5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E6F6E"/>
    <w:multiLevelType w:val="hybridMultilevel"/>
    <w:tmpl w:val="36301954"/>
    <w:lvl w:ilvl="0" w:tplc="FF1C8CCE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4622E818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9590365A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926A53AE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A9CA4788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9DBE1082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A7EC901E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777EA20A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EF4A6912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27772848"/>
    <w:multiLevelType w:val="hybridMultilevel"/>
    <w:tmpl w:val="218C5640"/>
    <w:lvl w:ilvl="0" w:tplc="922AF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8AF4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5AAF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CE0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147E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BCE9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125B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F084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E636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72986"/>
    <w:multiLevelType w:val="hybridMultilevel"/>
    <w:tmpl w:val="8DB26FE4"/>
    <w:lvl w:ilvl="0" w:tplc="F89069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70E7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3AC0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2A01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240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16BF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8AEB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051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B402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83"/>
    <w:rsid w:val="00331BB0"/>
    <w:rsid w:val="0078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994B93-F89C-4472-AC9B-05513477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305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05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058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0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0587"/>
    <w:rPr>
      <w:b/>
      <w:bCs/>
    </w:rPr>
  </w:style>
  <w:style w:type="paragraph" w:customStyle="1" w:styleId="Default">
    <w:name w:val="Default"/>
    <w:rsid w:val="00B62D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3604</Characters>
  <Application>Microsoft Office Word</Application>
  <DocSecurity>4</DocSecurity>
  <Lines>83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HB00601 (Committee Report (Unamended))</vt:lpstr>
    </vt:vector>
  </TitlesOfParts>
  <Company>State of Texas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19814</dc:subject>
  <dc:creator>State of Texas</dc:creator>
  <dc:description>HB 601 by Price-(H)Criminal Jurisprudence</dc:description>
  <cp:lastModifiedBy>Damian Duarte</cp:lastModifiedBy>
  <cp:revision>2</cp:revision>
  <cp:lastPrinted>2003-11-26T17:21:00Z</cp:lastPrinted>
  <dcterms:created xsi:type="dcterms:W3CDTF">2019-03-29T19:21:00Z</dcterms:created>
  <dcterms:modified xsi:type="dcterms:W3CDTF">2019-03-29T19:21:00Z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19.73.616</vt:lpwstr>
  </property>
</Properties>
</file>