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6A68" w:rsidTr="00345119">
        <w:tc>
          <w:tcPr>
            <w:tcW w:w="9576" w:type="dxa"/>
            <w:noWrap/>
          </w:tcPr>
          <w:p w:rsidR="008423E4" w:rsidRPr="0022177D" w:rsidRDefault="00193C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3CC5" w:rsidP="008423E4">
      <w:pPr>
        <w:jc w:val="center"/>
      </w:pPr>
    </w:p>
    <w:p w:rsidR="008423E4" w:rsidRPr="00B31F0E" w:rsidRDefault="00193CC5" w:rsidP="008423E4"/>
    <w:p w:rsidR="008423E4" w:rsidRPr="00742794" w:rsidRDefault="00193C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6A68" w:rsidTr="00345119">
        <w:tc>
          <w:tcPr>
            <w:tcW w:w="9576" w:type="dxa"/>
          </w:tcPr>
          <w:p w:rsidR="008423E4" w:rsidRPr="00861995" w:rsidRDefault="00193CC5" w:rsidP="00345119">
            <w:pPr>
              <w:jc w:val="right"/>
            </w:pPr>
            <w:r>
              <w:t>C.S.H.B. 602</w:t>
            </w:r>
          </w:p>
        </w:tc>
      </w:tr>
      <w:tr w:rsidR="00836A68" w:rsidTr="00345119">
        <w:tc>
          <w:tcPr>
            <w:tcW w:w="9576" w:type="dxa"/>
          </w:tcPr>
          <w:p w:rsidR="008423E4" w:rsidRPr="00861995" w:rsidRDefault="00193CC5" w:rsidP="00CE64F5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836A68" w:rsidTr="00345119">
        <w:tc>
          <w:tcPr>
            <w:tcW w:w="9576" w:type="dxa"/>
          </w:tcPr>
          <w:p w:rsidR="008423E4" w:rsidRPr="00861995" w:rsidRDefault="00193CC5" w:rsidP="00345119">
            <w:pPr>
              <w:jc w:val="right"/>
            </w:pPr>
            <w:r>
              <w:t>Public Health</w:t>
            </w:r>
          </w:p>
        </w:tc>
      </w:tr>
      <w:tr w:rsidR="00836A68" w:rsidTr="00345119">
        <w:tc>
          <w:tcPr>
            <w:tcW w:w="9576" w:type="dxa"/>
          </w:tcPr>
          <w:p w:rsidR="008423E4" w:rsidRDefault="00193CC5" w:rsidP="00EC5D0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3CC5" w:rsidP="008423E4">
      <w:pPr>
        <w:tabs>
          <w:tab w:val="right" w:pos="9360"/>
        </w:tabs>
      </w:pPr>
    </w:p>
    <w:p w:rsidR="008423E4" w:rsidRDefault="00193CC5" w:rsidP="008423E4"/>
    <w:p w:rsidR="008423E4" w:rsidRDefault="00193C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6A68" w:rsidTr="00345119">
        <w:tc>
          <w:tcPr>
            <w:tcW w:w="9576" w:type="dxa"/>
          </w:tcPr>
          <w:p w:rsidR="008423E4" w:rsidRPr="00A8133F" w:rsidRDefault="00193CC5" w:rsidP="000130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3CC5" w:rsidP="0001301D"/>
          <w:p w:rsidR="008423E4" w:rsidRDefault="00193CC5" w:rsidP="00013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regarding </w:t>
            </w:r>
            <w:r>
              <w:t xml:space="preserve">the potential negative consequences of </w:t>
            </w:r>
            <w:r>
              <w:t>c</w:t>
            </w:r>
            <w:r w:rsidRPr="00EC3C29">
              <w:t>ase</w:t>
            </w:r>
            <w:r>
              <w:t>s</w:t>
            </w:r>
            <w:r w:rsidRPr="00EC3C29">
              <w:t xml:space="preserve"> involving a </w:t>
            </w:r>
            <w:r>
              <w:t xml:space="preserve">complaint </w:t>
            </w:r>
            <w:r>
              <w:t>against</w:t>
            </w:r>
            <w:r w:rsidRPr="00EC3C29">
              <w:t xml:space="preserve"> the holder of a license</w:t>
            </w:r>
            <w:r>
              <w:t xml:space="preserve"> issued by the Texas Medical Board </w:t>
            </w:r>
            <w:r>
              <w:t>w</w:t>
            </w:r>
            <w:r>
              <w:t>hen it</w:t>
            </w:r>
            <w:r>
              <w:t xml:space="preserve"> is </w:t>
            </w:r>
            <w:r w:rsidRPr="00EC3C29">
              <w:t>determine</w:t>
            </w:r>
            <w:r>
              <w:t>d</w:t>
            </w:r>
            <w:r w:rsidRPr="00EC3C29">
              <w:t xml:space="preserve"> that the </w:t>
            </w:r>
            <w:r>
              <w:t xml:space="preserve">complaint was </w:t>
            </w:r>
            <w:r>
              <w:t>baseless, unfounded, or based on insufficient evidence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602 </w:t>
            </w:r>
            <w:r>
              <w:t>seeks to address</w:t>
            </w:r>
            <w:r>
              <w:t xml:space="preserve">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 requiring the </w:t>
            </w:r>
            <w:r>
              <w:t xml:space="preserve">board </w:t>
            </w:r>
            <w:r w:rsidRPr="009F73DC">
              <w:t>to remove</w:t>
            </w:r>
            <w:r>
              <w:t xml:space="preserve"> </w:t>
            </w:r>
            <w:r w:rsidRPr="00052D7D">
              <w:t xml:space="preserve">certain </w:t>
            </w:r>
            <w:r>
              <w:t xml:space="preserve">online </w:t>
            </w:r>
            <w:r w:rsidRPr="00052D7D">
              <w:t>information relating</w:t>
            </w:r>
            <w:r w:rsidRPr="009F73DC">
              <w:t xml:space="preserve"> </w:t>
            </w:r>
            <w:r>
              <w:t xml:space="preserve">to such cases </w:t>
            </w:r>
            <w:r>
              <w:t xml:space="preserve">and, if necessary, </w:t>
            </w:r>
            <w:r>
              <w:t xml:space="preserve">to </w:t>
            </w:r>
            <w:r>
              <w:t xml:space="preserve">submit </w:t>
            </w:r>
            <w:r>
              <w:t xml:space="preserve">a </w:t>
            </w:r>
            <w:r>
              <w:t xml:space="preserve">void </w:t>
            </w:r>
            <w:r>
              <w:t>report</w:t>
            </w:r>
            <w:r>
              <w:t xml:space="preserve"> to</w:t>
            </w:r>
            <w:r>
              <w:t xml:space="preserve"> </w:t>
            </w:r>
            <w:r>
              <w:t>applicable federal entities</w:t>
            </w:r>
            <w:r>
              <w:t>.</w:t>
            </w:r>
          </w:p>
          <w:p w:rsidR="008423E4" w:rsidRPr="00E26B13" w:rsidRDefault="00193CC5" w:rsidP="0001301D">
            <w:pPr>
              <w:rPr>
                <w:b/>
              </w:rPr>
            </w:pPr>
          </w:p>
        </w:tc>
      </w:tr>
      <w:tr w:rsidR="00836A68" w:rsidTr="00345119">
        <w:tc>
          <w:tcPr>
            <w:tcW w:w="9576" w:type="dxa"/>
          </w:tcPr>
          <w:p w:rsidR="0017725B" w:rsidRDefault="00193CC5" w:rsidP="000130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3CC5" w:rsidP="0001301D">
            <w:pPr>
              <w:rPr>
                <w:b/>
                <w:u w:val="single"/>
              </w:rPr>
            </w:pPr>
          </w:p>
          <w:p w:rsidR="00F752E6" w:rsidRPr="00F752E6" w:rsidRDefault="00193CC5" w:rsidP="0001301D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93CC5" w:rsidP="0001301D">
            <w:pPr>
              <w:rPr>
                <w:b/>
                <w:u w:val="single"/>
              </w:rPr>
            </w:pPr>
          </w:p>
        </w:tc>
      </w:tr>
      <w:tr w:rsidR="00836A68" w:rsidTr="00345119">
        <w:tc>
          <w:tcPr>
            <w:tcW w:w="9576" w:type="dxa"/>
          </w:tcPr>
          <w:p w:rsidR="008423E4" w:rsidRPr="00A8133F" w:rsidRDefault="00193CC5" w:rsidP="000130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3CC5" w:rsidP="0001301D"/>
          <w:p w:rsidR="00F752E6" w:rsidRDefault="00193CC5" w:rsidP="00013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193CC5" w:rsidP="0001301D">
            <w:pPr>
              <w:rPr>
                <w:b/>
              </w:rPr>
            </w:pPr>
          </w:p>
        </w:tc>
      </w:tr>
      <w:tr w:rsidR="00836A68" w:rsidTr="00345119">
        <w:tc>
          <w:tcPr>
            <w:tcW w:w="9576" w:type="dxa"/>
          </w:tcPr>
          <w:p w:rsidR="008423E4" w:rsidRPr="00A8133F" w:rsidRDefault="00193CC5" w:rsidP="0001301D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3CC5" w:rsidP="0001301D">
            <w:pPr>
              <w:contextualSpacing/>
            </w:pPr>
          </w:p>
          <w:p w:rsidR="004028C4" w:rsidRDefault="00193CC5" w:rsidP="0001301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</w:t>
            </w:r>
            <w:r>
              <w:t xml:space="preserve">H.B. 602 amends the Occupations Code to require </w:t>
            </w:r>
            <w:r>
              <w:t>the</w:t>
            </w:r>
            <w:r>
              <w:t xml:space="preserve"> Texas Medical Board</w:t>
            </w:r>
            <w:r>
              <w:t xml:space="preserve"> (TMB)</w:t>
            </w:r>
            <w:r>
              <w:t>,</w:t>
            </w:r>
            <w:r>
              <w:t xml:space="preserve"> </w:t>
            </w:r>
            <w:r>
              <w:t>if the administrative law judge</w:t>
            </w:r>
            <w:r>
              <w:t xml:space="preserve"> hearing a contested case involving </w:t>
            </w:r>
            <w:r>
              <w:t>a complaint against the</w:t>
            </w:r>
            <w:r>
              <w:t xml:space="preserve"> holder of </w:t>
            </w:r>
            <w:r>
              <w:t>a</w:t>
            </w:r>
            <w:r>
              <w:t xml:space="preserve"> TMB-issued</w:t>
            </w:r>
            <w:r>
              <w:t xml:space="preserve"> licens</w:t>
            </w:r>
            <w:r>
              <w:t>e</w:t>
            </w:r>
            <w:r>
              <w:t xml:space="preserve"> determines that the </w:t>
            </w:r>
            <w:r>
              <w:t xml:space="preserve">complaint is baseless, unfounded, or based on </w:t>
            </w:r>
            <w:r>
              <w:t>in</w:t>
            </w:r>
            <w:r>
              <w:t>sufficient evidence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take the following actions</w:t>
            </w:r>
            <w:r>
              <w:t xml:space="preserve"> not later than the 10th business day after the date of the judge's order</w:t>
            </w:r>
            <w:r>
              <w:t>:</w:t>
            </w:r>
            <w:r>
              <w:t xml:space="preserve"> </w:t>
            </w:r>
          </w:p>
          <w:p w:rsidR="004028C4" w:rsidRDefault="00193CC5" w:rsidP="000130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contextualSpacing/>
              <w:jc w:val="both"/>
            </w:pPr>
            <w:r>
              <w:t xml:space="preserve">to </w:t>
            </w:r>
            <w:r>
              <w:t xml:space="preserve">remove from the TMB website any description of the </w:t>
            </w:r>
            <w:r>
              <w:t>complaint</w:t>
            </w:r>
            <w:r>
              <w:t xml:space="preserve"> and any previous TMB order regarding the </w:t>
            </w:r>
            <w:r>
              <w:t>complaint</w:t>
            </w:r>
            <w:r>
              <w:t>;</w:t>
            </w:r>
            <w:r w:rsidRPr="006747A6">
              <w:t xml:space="preserve"> </w:t>
            </w:r>
            <w:r>
              <w:t>and</w:t>
            </w:r>
          </w:p>
          <w:p w:rsidR="004028C4" w:rsidRDefault="00193CC5" w:rsidP="000130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contextualSpacing/>
              <w:jc w:val="both"/>
            </w:pPr>
            <w:r>
              <w:t xml:space="preserve">if </w:t>
            </w:r>
            <w:r w:rsidRPr="00A71DED">
              <w:t xml:space="preserve">the </w:t>
            </w:r>
            <w:r>
              <w:t>TMB</w:t>
            </w:r>
            <w:r w:rsidRPr="00A71DED">
              <w:t xml:space="preserve"> reported the </w:t>
            </w:r>
            <w:r>
              <w:t>complaint</w:t>
            </w:r>
            <w:r w:rsidRPr="00A71DED">
              <w:t xml:space="preserve"> to</w:t>
            </w:r>
            <w:r>
              <w:t xml:space="preserve"> a federal entity, including</w:t>
            </w:r>
            <w:r w:rsidRPr="00A71DED">
              <w:t xml:space="preserve"> the National Practitioner Data Bank,</w:t>
            </w:r>
            <w:r w:rsidRPr="006747A6">
              <w:t xml:space="preserve"> </w:t>
            </w:r>
            <w:r>
              <w:t xml:space="preserve">to submit </w:t>
            </w:r>
            <w:r w:rsidRPr="006747A6">
              <w:t xml:space="preserve">a </w:t>
            </w:r>
            <w:r>
              <w:t xml:space="preserve">void </w:t>
            </w:r>
            <w:r w:rsidRPr="006747A6">
              <w:t xml:space="preserve">report to the </w:t>
            </w:r>
            <w:r>
              <w:t>entity</w:t>
            </w:r>
            <w:r>
              <w:t xml:space="preserve">. </w:t>
            </w:r>
          </w:p>
          <w:p w:rsidR="008423E4" w:rsidRDefault="00193CC5" w:rsidP="0001301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Th</w:t>
            </w:r>
            <w:r>
              <w:t>is</w:t>
            </w:r>
            <w:r>
              <w:t xml:space="preserve"> requirement is subject to the authority of the TMB to obtain judicial review</w:t>
            </w:r>
            <w:r>
              <w:t xml:space="preserve"> of </w:t>
            </w:r>
            <w:r>
              <w:t>the</w:t>
            </w:r>
            <w:r>
              <w:t xml:space="preserve"> judge's findings</w:t>
            </w:r>
            <w:r>
              <w:t xml:space="preserve"> and</w:t>
            </w:r>
            <w:r>
              <w:t xml:space="preserve"> </w:t>
            </w:r>
            <w:r>
              <w:t xml:space="preserve">applies </w:t>
            </w:r>
            <w:r>
              <w:t xml:space="preserve">only </w:t>
            </w:r>
            <w:r>
              <w:t xml:space="preserve">to </w:t>
            </w:r>
            <w:r>
              <w:t>a complaint for which a disciplinary order or action of the TMB is involved in litigation on the bill's effective date or becom</w:t>
            </w:r>
            <w:r>
              <w:t xml:space="preserve">es final on or after the bill's effective date. </w:t>
            </w:r>
          </w:p>
          <w:p w:rsidR="008423E4" w:rsidRPr="00835628" w:rsidRDefault="00193CC5" w:rsidP="0001301D">
            <w:pPr>
              <w:contextualSpacing/>
              <w:rPr>
                <w:b/>
              </w:rPr>
            </w:pPr>
          </w:p>
        </w:tc>
      </w:tr>
      <w:tr w:rsidR="00836A68" w:rsidTr="00345119">
        <w:tc>
          <w:tcPr>
            <w:tcW w:w="9576" w:type="dxa"/>
          </w:tcPr>
          <w:p w:rsidR="008423E4" w:rsidRPr="00A8133F" w:rsidRDefault="00193CC5" w:rsidP="000130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3CC5" w:rsidP="0001301D"/>
          <w:p w:rsidR="008423E4" w:rsidRDefault="00193CC5" w:rsidP="000130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93CC5" w:rsidP="0001301D">
            <w:pPr>
              <w:rPr>
                <w:b/>
              </w:rPr>
            </w:pPr>
          </w:p>
        </w:tc>
      </w:tr>
      <w:tr w:rsidR="00836A68" w:rsidTr="00345119">
        <w:tc>
          <w:tcPr>
            <w:tcW w:w="9576" w:type="dxa"/>
          </w:tcPr>
          <w:p w:rsidR="00CE64F5" w:rsidRDefault="00193CC5" w:rsidP="000130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2426A" w:rsidRDefault="00193CC5" w:rsidP="0001301D">
            <w:pPr>
              <w:jc w:val="both"/>
            </w:pPr>
          </w:p>
          <w:p w:rsidR="009D1BB2" w:rsidRDefault="00193CC5" w:rsidP="0001301D">
            <w:pPr>
              <w:jc w:val="both"/>
            </w:pPr>
            <w:r>
              <w:t xml:space="preserve">While C.S.H.B. 602 may differ from the original in minor or nonsubstantive ways, the following summarizes the substantial differences between the introduced and committee substitute versions of the bill. </w:t>
            </w:r>
          </w:p>
          <w:p w:rsidR="009D1BB2" w:rsidRDefault="00193CC5" w:rsidP="0001301D">
            <w:pPr>
              <w:jc w:val="both"/>
            </w:pPr>
          </w:p>
          <w:p w:rsidR="009D1BB2" w:rsidRDefault="00193CC5" w:rsidP="0001301D">
            <w:pPr>
              <w:jc w:val="both"/>
            </w:pPr>
            <w:r>
              <w:t xml:space="preserve">The substitute changes </w:t>
            </w:r>
            <w:r>
              <w:t>the types of cases to which</w:t>
            </w:r>
            <w:r>
              <w:t xml:space="preserve"> the requirement applies from a case involving an alleged violation that </w:t>
            </w:r>
            <w:r>
              <w:t>the judg</w:t>
            </w:r>
            <w:r>
              <w:t>e</w:t>
            </w:r>
            <w:r>
              <w:t xml:space="preserve"> determin</w:t>
            </w:r>
            <w:r>
              <w:t>es</w:t>
            </w:r>
            <w:r>
              <w:t xml:space="preserve"> did not occur to</w:t>
            </w:r>
            <w:r>
              <w:t xml:space="preserve"> a case involving a complaint that the judge determines</w:t>
            </w:r>
            <w:r>
              <w:t xml:space="preserve"> is baseless, unfounded, or based on insufficient evidence. </w:t>
            </w:r>
          </w:p>
          <w:p w:rsidR="00D75082" w:rsidRDefault="00193CC5" w:rsidP="0001301D">
            <w:pPr>
              <w:jc w:val="both"/>
            </w:pPr>
          </w:p>
          <w:p w:rsidR="00D75082" w:rsidRDefault="00193CC5" w:rsidP="0001301D">
            <w:pPr>
              <w:jc w:val="both"/>
            </w:pPr>
            <w:r>
              <w:t>The substitute includes a dea</w:t>
            </w:r>
            <w:r>
              <w:t>dline for the TMB to take the required actions.</w:t>
            </w:r>
          </w:p>
          <w:p w:rsidR="009D1BB2" w:rsidRDefault="00193CC5" w:rsidP="0001301D">
            <w:pPr>
              <w:jc w:val="both"/>
            </w:pPr>
          </w:p>
          <w:p w:rsidR="003373B5" w:rsidRDefault="00193CC5" w:rsidP="0001301D">
            <w:pPr>
              <w:jc w:val="both"/>
            </w:pPr>
            <w:r>
              <w:t xml:space="preserve">The substitute expands the entities to whom the TMB is required to submit a report to include any federal entity to whom the TMB reported the complaint and </w:t>
            </w:r>
            <w:r>
              <w:t>specifies that</w:t>
            </w:r>
            <w:r>
              <w:t xml:space="preserve"> the </w:t>
            </w:r>
            <w:r>
              <w:t xml:space="preserve">type of </w:t>
            </w:r>
            <w:r>
              <w:t>report required to be su</w:t>
            </w:r>
            <w:r>
              <w:t xml:space="preserve">bmitted </w:t>
            </w:r>
            <w:r>
              <w:t>is</w:t>
            </w:r>
            <w:r>
              <w:t xml:space="preserve"> a void report. </w:t>
            </w:r>
          </w:p>
          <w:p w:rsidR="00F5779B" w:rsidRDefault="00193CC5" w:rsidP="0001301D">
            <w:pPr>
              <w:jc w:val="both"/>
            </w:pPr>
          </w:p>
          <w:p w:rsidR="0072426A" w:rsidRPr="0072426A" w:rsidRDefault="00193CC5" w:rsidP="0001301D">
            <w:pPr>
              <w:jc w:val="both"/>
            </w:pPr>
            <w:r>
              <w:t xml:space="preserve">The substitute </w:t>
            </w:r>
            <w:r>
              <w:t>includes a provision making the requirement applicable only to a complaint for which a disciplinary order or action of the TMB is involved in litigation on the bill's effective date or becomes final on or after th</w:t>
            </w:r>
            <w:r>
              <w:t>e bill's effective date</w:t>
            </w:r>
            <w:r>
              <w:t>.</w:t>
            </w:r>
          </w:p>
        </w:tc>
      </w:tr>
      <w:tr w:rsidR="00836A68" w:rsidTr="00345119">
        <w:tc>
          <w:tcPr>
            <w:tcW w:w="9576" w:type="dxa"/>
          </w:tcPr>
          <w:p w:rsidR="00CE64F5" w:rsidRPr="009C1E9A" w:rsidRDefault="00193CC5" w:rsidP="0001301D">
            <w:pPr>
              <w:rPr>
                <w:b/>
                <w:u w:val="single"/>
              </w:rPr>
            </w:pPr>
          </w:p>
        </w:tc>
      </w:tr>
      <w:tr w:rsidR="00836A68" w:rsidTr="00345119">
        <w:tc>
          <w:tcPr>
            <w:tcW w:w="9576" w:type="dxa"/>
          </w:tcPr>
          <w:p w:rsidR="00CE64F5" w:rsidRPr="00CE64F5" w:rsidRDefault="00193CC5" w:rsidP="0001301D">
            <w:pPr>
              <w:jc w:val="both"/>
            </w:pPr>
          </w:p>
        </w:tc>
      </w:tr>
    </w:tbl>
    <w:p w:rsidR="008423E4" w:rsidRPr="00BE0E75" w:rsidRDefault="00193C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3C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3CC5">
      <w:r>
        <w:separator/>
      </w:r>
    </w:p>
  </w:endnote>
  <w:endnote w:type="continuationSeparator" w:id="0">
    <w:p w:rsidR="00000000" w:rsidRDefault="001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6A68" w:rsidTr="009C1E9A">
      <w:trPr>
        <w:cantSplit/>
      </w:trPr>
      <w:tc>
        <w:tcPr>
          <w:tcW w:w="0" w:type="pct"/>
        </w:tcPr>
        <w:p w:rsidR="00137D90" w:rsidRDefault="00193C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3C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3C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3C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3C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A68" w:rsidTr="009C1E9A">
      <w:trPr>
        <w:cantSplit/>
      </w:trPr>
      <w:tc>
        <w:tcPr>
          <w:tcW w:w="0" w:type="pct"/>
        </w:tcPr>
        <w:p w:rsidR="00EC379B" w:rsidRDefault="00193C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3C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24046</w:t>
          </w:r>
        </w:p>
      </w:tc>
      <w:tc>
        <w:tcPr>
          <w:tcW w:w="2453" w:type="pct"/>
        </w:tcPr>
        <w:p w:rsidR="00EC379B" w:rsidRDefault="00193C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19.93.322</w:t>
          </w:r>
          <w:r>
            <w:fldChar w:fldCharType="end"/>
          </w:r>
        </w:p>
      </w:tc>
    </w:tr>
    <w:tr w:rsidR="00836A68" w:rsidTr="009C1E9A">
      <w:trPr>
        <w:cantSplit/>
      </w:trPr>
      <w:tc>
        <w:tcPr>
          <w:tcW w:w="0" w:type="pct"/>
        </w:tcPr>
        <w:p w:rsidR="00EC379B" w:rsidRDefault="00193C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3C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17257</w:t>
          </w:r>
        </w:p>
      </w:tc>
      <w:tc>
        <w:tcPr>
          <w:tcW w:w="2453" w:type="pct"/>
        </w:tcPr>
        <w:p w:rsidR="00EC379B" w:rsidRDefault="00193CC5" w:rsidP="006D504F">
          <w:pPr>
            <w:pStyle w:val="Footer"/>
            <w:rPr>
              <w:rStyle w:val="PageNumber"/>
            </w:rPr>
          </w:pPr>
        </w:p>
        <w:p w:rsidR="00EC379B" w:rsidRDefault="00193C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A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3C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93C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3C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3CC5">
      <w:r>
        <w:separator/>
      </w:r>
    </w:p>
  </w:footnote>
  <w:footnote w:type="continuationSeparator" w:id="0">
    <w:p w:rsidR="00000000" w:rsidRDefault="0019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3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6557A"/>
    <w:multiLevelType w:val="hybridMultilevel"/>
    <w:tmpl w:val="D1623A32"/>
    <w:lvl w:ilvl="0" w:tplc="6560A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C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49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C9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E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A0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8D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5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CA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8"/>
    <w:rsid w:val="00193CC5"/>
    <w:rsid w:val="008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573752-5DB8-40A3-B3AD-E6DD9B1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F752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5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2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52E6"/>
    <w:rPr>
      <w:b/>
      <w:bCs/>
    </w:rPr>
  </w:style>
  <w:style w:type="paragraph" w:styleId="Revision">
    <w:name w:val="Revision"/>
    <w:hidden/>
    <w:uiPriority w:val="99"/>
    <w:semiHidden/>
    <w:rsid w:val="00047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2645</Characters>
  <Application>Microsoft Office Word</Application>
  <DocSecurity>4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HB00602 (Committee Report (Substituted))</vt:lpstr>
    </vt:vector>
  </TitlesOfParts>
  <Company>State of Texas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24046</dc:subject>
  <dc:creator>State of Texas</dc:creator>
  <dc:description>HB 602 by Zedler-(H)Public Health (Substitute Document Number: 86R 17257)</dc:description>
  <cp:lastModifiedBy>Laura Ramsay</cp:lastModifiedBy>
  <cp:revision>2</cp:revision>
  <cp:lastPrinted>2003-11-26T17:21:00Z</cp:lastPrinted>
  <dcterms:created xsi:type="dcterms:W3CDTF">2019-04-05T23:13:00Z</dcterms:created>
  <dcterms:modified xsi:type="dcterms:W3CDTF">2019-04-05T23:13:00Z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19.93.322</vt:lpwstr>
  </property>
</Properties>
</file>