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1336F" w:rsidTr="00345119">
        <w:tc>
          <w:tcPr>
            <w:tcW w:w="9576" w:type="dxa"/>
            <w:noWrap/>
          </w:tcPr>
          <w:p w:rsidR="008423E4" w:rsidRPr="0022177D" w:rsidRDefault="00AA294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A2941" w:rsidP="008423E4">
      <w:pPr>
        <w:jc w:val="center"/>
      </w:pPr>
    </w:p>
    <w:p w:rsidR="008423E4" w:rsidRPr="00B31F0E" w:rsidRDefault="00AA2941" w:rsidP="008423E4"/>
    <w:p w:rsidR="008423E4" w:rsidRPr="00742794" w:rsidRDefault="00AA294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1336F" w:rsidTr="00345119">
        <w:tc>
          <w:tcPr>
            <w:tcW w:w="9576" w:type="dxa"/>
          </w:tcPr>
          <w:p w:rsidR="008423E4" w:rsidRPr="00861995" w:rsidRDefault="00AA2941" w:rsidP="00345119">
            <w:pPr>
              <w:jc w:val="right"/>
            </w:pPr>
            <w:r>
              <w:t>C.S.H.B. 616</w:t>
            </w:r>
          </w:p>
        </w:tc>
      </w:tr>
      <w:tr w:rsidR="00A1336F" w:rsidTr="00345119">
        <w:tc>
          <w:tcPr>
            <w:tcW w:w="9576" w:type="dxa"/>
          </w:tcPr>
          <w:p w:rsidR="008423E4" w:rsidRPr="00861995" w:rsidRDefault="00AA2941" w:rsidP="004A5DB8">
            <w:pPr>
              <w:jc w:val="right"/>
            </w:pPr>
            <w:r>
              <w:t xml:space="preserve">By: </w:t>
            </w:r>
            <w:r>
              <w:t>Neave</w:t>
            </w:r>
          </w:p>
        </w:tc>
      </w:tr>
      <w:tr w:rsidR="00A1336F" w:rsidTr="00345119">
        <w:tc>
          <w:tcPr>
            <w:tcW w:w="9576" w:type="dxa"/>
          </w:tcPr>
          <w:p w:rsidR="008423E4" w:rsidRPr="00861995" w:rsidRDefault="00AA2941" w:rsidP="00345119">
            <w:pPr>
              <w:jc w:val="right"/>
            </w:pPr>
            <w:r>
              <w:t>Homeland Security &amp; Public Safety</w:t>
            </w:r>
          </w:p>
        </w:tc>
      </w:tr>
      <w:tr w:rsidR="00A1336F" w:rsidTr="00345119">
        <w:tc>
          <w:tcPr>
            <w:tcW w:w="9576" w:type="dxa"/>
          </w:tcPr>
          <w:p w:rsidR="008423E4" w:rsidRDefault="00AA294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A2941" w:rsidP="008423E4">
      <w:pPr>
        <w:tabs>
          <w:tab w:val="right" w:pos="9360"/>
        </w:tabs>
      </w:pPr>
    </w:p>
    <w:p w:rsidR="008423E4" w:rsidRDefault="00AA2941" w:rsidP="008423E4"/>
    <w:p w:rsidR="008423E4" w:rsidRDefault="00AA294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1336F" w:rsidTr="00345119">
        <w:tc>
          <w:tcPr>
            <w:tcW w:w="9576" w:type="dxa"/>
          </w:tcPr>
          <w:p w:rsidR="008423E4" w:rsidRPr="00A8133F" w:rsidRDefault="00AA2941" w:rsidP="0058489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A2941" w:rsidP="00584894"/>
          <w:p w:rsidR="008423E4" w:rsidRDefault="00AA2941" w:rsidP="00584894">
            <w:pPr>
              <w:pStyle w:val="Header"/>
              <w:jc w:val="both"/>
            </w:pPr>
            <w:r>
              <w:t xml:space="preserve">Concerns have been raised regarding the commitment of resources by law enforcement agencies in handling requests by </w:t>
            </w:r>
            <w:r>
              <w:t>health care facilities for the reimbursement of money spent to</w:t>
            </w:r>
            <w:r>
              <w:t xml:space="preserve"> conduct forensic exams of sexual assault victims. </w:t>
            </w:r>
            <w:r>
              <w:t xml:space="preserve">It has been suggested that some of the administrative aspects of these requests are </w:t>
            </w:r>
            <w:r>
              <w:t>more efficiently</w:t>
            </w:r>
            <w:r>
              <w:t xml:space="preserve"> handled by the requesting facilities. </w:t>
            </w:r>
            <w:r w:rsidRPr="008600C4">
              <w:t>C.S.</w:t>
            </w:r>
            <w:r>
              <w:t xml:space="preserve">H.B. 616 </w:t>
            </w:r>
            <w:r>
              <w:t xml:space="preserve">seeks </w:t>
            </w:r>
            <w:r>
              <w:t xml:space="preserve">to </w:t>
            </w:r>
            <w:r>
              <w:t>address this issue</w:t>
            </w:r>
            <w:r>
              <w:t xml:space="preserve"> by providing </w:t>
            </w:r>
            <w:r>
              <w:t>for fewer administrative burdens for law enforcement</w:t>
            </w:r>
            <w:r>
              <w:t xml:space="preserve"> and a more efficient</w:t>
            </w:r>
            <w:r>
              <w:t xml:space="preserve"> reimbursement</w:t>
            </w:r>
            <w:r>
              <w:t xml:space="preserve"> process</w:t>
            </w:r>
            <w:r>
              <w:t xml:space="preserve"> for health care facilities.</w:t>
            </w:r>
          </w:p>
          <w:p w:rsidR="008423E4" w:rsidRPr="00E26B13" w:rsidRDefault="00AA2941" w:rsidP="00584894">
            <w:pPr>
              <w:rPr>
                <w:b/>
              </w:rPr>
            </w:pPr>
          </w:p>
        </w:tc>
      </w:tr>
      <w:tr w:rsidR="00A1336F" w:rsidTr="00345119">
        <w:tc>
          <w:tcPr>
            <w:tcW w:w="9576" w:type="dxa"/>
          </w:tcPr>
          <w:p w:rsidR="0017725B" w:rsidRDefault="00AA2941" w:rsidP="0058489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A2941" w:rsidP="00584894">
            <w:pPr>
              <w:rPr>
                <w:b/>
                <w:u w:val="single"/>
              </w:rPr>
            </w:pPr>
          </w:p>
          <w:p w:rsidR="00D612AB" w:rsidRPr="00D612AB" w:rsidRDefault="00AA2941" w:rsidP="00584894">
            <w:pPr>
              <w:jc w:val="both"/>
            </w:pPr>
            <w:r>
              <w:t>It is the committee's opinion that this bill does not e</w:t>
            </w:r>
            <w:r>
              <w:t>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A2941" w:rsidP="00584894">
            <w:pPr>
              <w:rPr>
                <w:b/>
                <w:u w:val="single"/>
              </w:rPr>
            </w:pPr>
          </w:p>
        </w:tc>
      </w:tr>
      <w:tr w:rsidR="00A1336F" w:rsidTr="00345119">
        <w:tc>
          <w:tcPr>
            <w:tcW w:w="9576" w:type="dxa"/>
          </w:tcPr>
          <w:p w:rsidR="008423E4" w:rsidRPr="00A8133F" w:rsidRDefault="00AA2941" w:rsidP="0058489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A2941" w:rsidP="00584894"/>
          <w:p w:rsidR="00D612AB" w:rsidRDefault="00AA2941" w:rsidP="005848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rulemaking authority is expressly granted to the attorney general in SECTION</w:t>
            </w:r>
            <w:r>
              <w:t>S</w:t>
            </w:r>
            <w:r>
              <w:t xml:space="preserve"> 3</w:t>
            </w:r>
            <w:r>
              <w:t xml:space="preserve"> and 4</w:t>
            </w:r>
            <w:r>
              <w:t xml:space="preserve"> of this bill.</w:t>
            </w:r>
          </w:p>
          <w:p w:rsidR="008423E4" w:rsidRPr="00E21FDC" w:rsidRDefault="00AA2941" w:rsidP="00584894">
            <w:pPr>
              <w:rPr>
                <w:b/>
              </w:rPr>
            </w:pPr>
          </w:p>
        </w:tc>
      </w:tr>
      <w:tr w:rsidR="00A1336F" w:rsidTr="00345119">
        <w:tc>
          <w:tcPr>
            <w:tcW w:w="9576" w:type="dxa"/>
          </w:tcPr>
          <w:p w:rsidR="008423E4" w:rsidRDefault="00AA2941" w:rsidP="0058489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B64E58" w:rsidRPr="008600C4" w:rsidRDefault="00AA2941" w:rsidP="00584894">
            <w:pPr>
              <w:rPr>
                <w:b/>
              </w:rPr>
            </w:pPr>
          </w:p>
          <w:p w:rsidR="004A4D7F" w:rsidRDefault="00AA2941" w:rsidP="00584894">
            <w:pPr>
              <w:jc w:val="both"/>
            </w:pPr>
            <w:r w:rsidRPr="008600C4">
              <w:t>C.S.</w:t>
            </w:r>
            <w:r>
              <w:t>H.B. 616 amends the Code of Criminal Procedure to</w:t>
            </w:r>
            <w:r>
              <w:t xml:space="preserve"> </w:t>
            </w:r>
            <w:r w:rsidRPr="008600C4">
              <w:t xml:space="preserve">extend the period within which a sexual assault offense must be </w:t>
            </w:r>
            <w:r w:rsidRPr="008600C4">
              <w:t>reported</w:t>
            </w:r>
            <w:r>
              <w:t xml:space="preserve">, or within which the victim must </w:t>
            </w:r>
            <w:r>
              <w:t>arrive at a health care facility,</w:t>
            </w:r>
            <w:r>
              <w:t xml:space="preserve"> </w:t>
            </w:r>
            <w:r w:rsidRPr="008600C4">
              <w:t xml:space="preserve">for the victim of the offense to </w:t>
            </w:r>
            <w:r>
              <w:t>be entitled</w:t>
            </w:r>
            <w:r w:rsidRPr="008600C4">
              <w:t xml:space="preserve"> to a forensic medical examination from within 96 hours of the offense to within 120 hours of the offense.</w:t>
            </w:r>
            <w:r>
              <w:t xml:space="preserve"> </w:t>
            </w:r>
            <w:r>
              <w:t>The</w:t>
            </w:r>
            <w:r>
              <w:t xml:space="preserve"> bill</w:t>
            </w:r>
            <w:r>
              <w:t xml:space="preserve"> </w:t>
            </w:r>
            <w:r>
              <w:t>authorizes</w:t>
            </w:r>
            <w:r>
              <w:t xml:space="preserve"> a law enf</w:t>
            </w:r>
            <w:r>
              <w:t xml:space="preserve">orcement agency </w:t>
            </w:r>
            <w:r>
              <w:t xml:space="preserve">to decline </w:t>
            </w:r>
            <w:r>
              <w:t>to request a forensic medical examination for a sexual assault victim who has reported the assault</w:t>
            </w:r>
            <w:r>
              <w:t xml:space="preserve"> if the sexual assault was not reported to the agency within </w:t>
            </w:r>
            <w:r>
              <w:t>that</w:t>
            </w:r>
            <w:r w:rsidRPr="00985509">
              <w:t xml:space="preserve"> time period</w:t>
            </w:r>
            <w:r w:rsidRPr="00F900F4">
              <w:t>.</w:t>
            </w:r>
            <w:r>
              <w:t xml:space="preserve"> The bill </w:t>
            </w:r>
            <w:r>
              <w:t>requires a law enforcement agency, if a sex</w:t>
            </w:r>
            <w:r>
              <w:t>ual assault is reported</w:t>
            </w:r>
            <w:r>
              <w:t xml:space="preserve"> to the agency at any time</w:t>
            </w:r>
            <w:r>
              <w:t>, to document, in the form and manner required by the attorney general, whether the agency requested a forensic medical examination and to</w:t>
            </w:r>
            <w:r>
              <w:t xml:space="preserve"> </w:t>
            </w:r>
            <w:r>
              <w:t>provide such documentation to:</w:t>
            </w:r>
          </w:p>
          <w:p w:rsidR="004A4D7F" w:rsidRDefault="00AA2941" w:rsidP="00584894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the health care facility and the sexu</w:t>
            </w:r>
            <w:r>
              <w:t>al assault examiner or sexual assault nurse examiner, as applicable, that provides services to the victim that are related to the sexual assault; and</w:t>
            </w:r>
          </w:p>
          <w:p w:rsidR="004A4D7F" w:rsidRDefault="00AA2941" w:rsidP="00584894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the victim or the person who consented to the forensic medical examination on behalf of the victim</w:t>
            </w:r>
            <w:r>
              <w:t>.</w:t>
            </w:r>
          </w:p>
          <w:p w:rsidR="004A4D7F" w:rsidRDefault="00AA2941" w:rsidP="0058489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bi</w:t>
            </w:r>
            <w:r>
              <w:t>ll requires the law enforcement agency to maintain the documentation of the agency's decision in accordance with the agency's record retention policies.</w:t>
            </w:r>
          </w:p>
          <w:p w:rsidR="008600C4" w:rsidRDefault="00AA2941" w:rsidP="005848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900F4" w:rsidRDefault="00AA2941" w:rsidP="00584894">
            <w:pPr>
              <w:pStyle w:val="Header"/>
              <w:jc w:val="both"/>
            </w:pPr>
            <w:r>
              <w:t>C.S.H.B. 616 repeals provision</w:t>
            </w:r>
            <w:r>
              <w:t>s</w:t>
            </w:r>
            <w:r>
              <w:t xml:space="preserve"> requiring a law enforcement agency that requests a forensic medical ex</w:t>
            </w:r>
            <w:r>
              <w:t>amination of a victim of a reported sexual assault for use in the investigation or prosecution of the offense to pay all costs of the examination</w:t>
            </w:r>
            <w:r>
              <w:t xml:space="preserve">, requiring </w:t>
            </w:r>
            <w:r>
              <w:t>the Department of Public Safety (</w:t>
            </w:r>
            <w:r>
              <w:t>DPS</w:t>
            </w:r>
            <w:r>
              <w:t>)</w:t>
            </w:r>
            <w:r>
              <w:t xml:space="preserve"> to pay certain fees associated with a forensic medical examination of a sexual assault victim who has not reported the assault,</w:t>
            </w:r>
            <w:r>
              <w:t xml:space="preserve"> </w:t>
            </w:r>
            <w:r w:rsidRPr="008913EB">
              <w:t xml:space="preserve">and entitling </w:t>
            </w:r>
            <w:r>
              <w:t>such an agency</w:t>
            </w:r>
            <w:r>
              <w:t xml:space="preserve"> or DPS</w:t>
            </w:r>
            <w:r w:rsidRPr="008913EB">
              <w:t xml:space="preserve"> to reimbursement</w:t>
            </w:r>
            <w:r w:rsidRPr="00985509">
              <w:t>.</w:t>
            </w:r>
            <w:r>
              <w:t xml:space="preserve"> </w:t>
            </w:r>
          </w:p>
          <w:p w:rsidR="00F900F4" w:rsidRDefault="00AA2941" w:rsidP="00584894">
            <w:pPr>
              <w:pStyle w:val="Header"/>
              <w:jc w:val="both"/>
            </w:pPr>
          </w:p>
          <w:p w:rsidR="004010EE" w:rsidRDefault="00AA2941" w:rsidP="00584894">
            <w:pPr>
              <w:pStyle w:val="Header"/>
              <w:jc w:val="both"/>
            </w:pPr>
            <w:r>
              <w:t xml:space="preserve">C.S.H.B. 616 </w:t>
            </w:r>
            <w:r>
              <w:t>entitle</w:t>
            </w:r>
            <w:r>
              <w:t>s</w:t>
            </w:r>
            <w:r>
              <w:t xml:space="preserve"> </w:t>
            </w:r>
            <w:r w:rsidRPr="006C6DE0">
              <w:t>a health care facility</w:t>
            </w:r>
            <w:r w:rsidRPr="006C6DE0">
              <w:t xml:space="preserve"> that provides a forensic medical examination to a sexual assault survivor</w:t>
            </w:r>
            <w:r>
              <w:t xml:space="preserve">, </w:t>
            </w:r>
            <w:r w:rsidRPr="00C85DE3">
              <w:t>or the sexual assault examiner or sexual assault nurse examiner who conducts that examination, as applicable,</w:t>
            </w:r>
            <w:r w:rsidRPr="006C6DE0">
              <w:t xml:space="preserve"> to </w:t>
            </w:r>
            <w:r>
              <w:t>be reimbursed</w:t>
            </w:r>
            <w:r>
              <w:t xml:space="preserve"> o</w:t>
            </w:r>
            <w:r w:rsidRPr="006C6DE0">
              <w:t>n application to the attorney general</w:t>
            </w:r>
            <w:r>
              <w:t xml:space="preserve"> in an amount s</w:t>
            </w:r>
            <w:r>
              <w:t>et by attorney general rule</w:t>
            </w:r>
            <w:r w:rsidRPr="006C6DE0">
              <w:t xml:space="preserve"> </w:t>
            </w:r>
            <w:r w:rsidRPr="006C6DE0">
              <w:t>for the reasonable costs of the forensic portion of that examination and for the evidence collection kit</w:t>
            </w:r>
            <w:r w:rsidRPr="00383572">
              <w:t xml:space="preserve">. </w:t>
            </w:r>
            <w:r>
              <w:t xml:space="preserve">If the examination was provided to a sexual assault survivor </w:t>
            </w:r>
            <w:r>
              <w:t>who has not reported the assault, the reimbursement entitleme</w:t>
            </w:r>
            <w:r>
              <w:t xml:space="preserve">nt applies only </w:t>
            </w:r>
            <w:r>
              <w:t xml:space="preserve">if the examination </w:t>
            </w:r>
            <w:r w:rsidRPr="008913EB">
              <w:t>was</w:t>
            </w:r>
            <w:r>
              <w:t xml:space="preserve"> provided</w:t>
            </w:r>
            <w:r>
              <w:t xml:space="preserve"> within 120 hours after the alleged assault occurred</w:t>
            </w:r>
            <w:r>
              <w:t>.</w:t>
            </w:r>
            <w:r w:rsidRPr="00383572">
              <w:t xml:space="preserve"> </w:t>
            </w:r>
            <w:r w:rsidRPr="002512E2">
              <w:t xml:space="preserve">The bill </w:t>
            </w:r>
            <w:r>
              <w:t>requires the application</w:t>
            </w:r>
            <w:r>
              <w:t xml:space="preserve"> for reimbursement</w:t>
            </w:r>
            <w:r>
              <w:t xml:space="preserve"> to be in the form and manner prescribed by the attorney general and</w:t>
            </w:r>
            <w:r w:rsidRPr="00383572">
              <w:t xml:space="preserve"> </w:t>
            </w:r>
            <w:r w:rsidRPr="00383572">
              <w:t>sets out the required contents of t</w:t>
            </w:r>
            <w:r w:rsidRPr="00383572">
              <w:t>he application</w:t>
            </w:r>
            <w:r>
              <w:t>. The bill</w:t>
            </w:r>
            <w:r>
              <w:t xml:space="preserve"> requires a reimbursement</w:t>
            </w:r>
            <w:r>
              <w:t xml:space="preserve"> applicant</w:t>
            </w:r>
            <w:r>
              <w:t xml:space="preserve"> to accept reimbursement </w:t>
            </w:r>
            <w:r>
              <w:t xml:space="preserve">from the attorney general </w:t>
            </w:r>
            <w:r>
              <w:t>as payment for the costs unless an investigation of the costs by the attorney general determines there is a reasonable health care justification f</w:t>
            </w:r>
            <w:r>
              <w:t>or a deviation.</w:t>
            </w:r>
            <w:r>
              <w:t xml:space="preserve"> The bill </w:t>
            </w:r>
            <w:r w:rsidRPr="00383572">
              <w:t>establishes</w:t>
            </w:r>
            <w:r w:rsidRPr="00383572">
              <w:t xml:space="preserve"> that</w:t>
            </w:r>
            <w:r>
              <w:t xml:space="preserve"> a</w:t>
            </w:r>
            <w:r>
              <w:t xml:space="preserve"> health care facility is not entitled to reimbursement unless the examination was conducted at the facility by a physician, sexual assault examiner, or sexual assault nurse examiner.</w:t>
            </w:r>
            <w:r>
              <w:t xml:space="preserve"> The bill authorizes the attorney general to </w:t>
            </w:r>
            <w:r w:rsidRPr="000037F2">
              <w:t>provide</w:t>
            </w:r>
            <w:r w:rsidRPr="00985509">
              <w:t>, on request,</w:t>
            </w:r>
            <w:r w:rsidRPr="000037F2">
              <w:t xml:space="preserve"> training to a health care facility regarding the process for applying for</w:t>
            </w:r>
            <w:r>
              <w:t xml:space="preserve"> the</w:t>
            </w:r>
            <w:r w:rsidRPr="000037F2">
              <w:t xml:space="preserve"> reimbursement</w:t>
            </w:r>
            <w:r>
              <w:t>.</w:t>
            </w:r>
            <w:r>
              <w:t xml:space="preserve"> </w:t>
            </w:r>
            <w:r>
              <w:t xml:space="preserve">The bill requires the attorney general to adopt rules necessary to implement provisions relating </w:t>
            </w:r>
            <w:r>
              <w:t xml:space="preserve">to </w:t>
            </w:r>
            <w:r>
              <w:t xml:space="preserve">a </w:t>
            </w:r>
            <w:r w:rsidRPr="00651590">
              <w:t xml:space="preserve">forensic medical examination </w:t>
            </w:r>
            <w:r>
              <w:t xml:space="preserve">for a sexual assault victim who has reported the assault, </w:t>
            </w:r>
            <w:r w:rsidRPr="00651590">
              <w:t>as amended by the bill</w:t>
            </w:r>
            <w:r>
              <w:t>,</w:t>
            </w:r>
            <w:r>
              <w:t xml:space="preserve"> and specifies the health care facilities to which those provisions apply. </w:t>
            </w:r>
          </w:p>
          <w:p w:rsidR="004010EE" w:rsidRDefault="00AA2941" w:rsidP="00584894">
            <w:pPr>
              <w:pStyle w:val="Header"/>
              <w:jc w:val="both"/>
            </w:pPr>
          </w:p>
          <w:p w:rsidR="00C85DE3" w:rsidRDefault="00AA2941" w:rsidP="00584894">
            <w:pPr>
              <w:pStyle w:val="Header"/>
              <w:jc w:val="both"/>
            </w:pPr>
            <w:r w:rsidRPr="00985509">
              <w:t>C.S.H.B. 616</w:t>
            </w:r>
            <w:r w:rsidRPr="00985509">
              <w:t xml:space="preserve"> </w:t>
            </w:r>
            <w:r w:rsidRPr="00651590">
              <w:t>specifies that the costs</w:t>
            </w:r>
            <w:r w:rsidRPr="00985509">
              <w:t xml:space="preserve"> </w:t>
            </w:r>
            <w:r w:rsidRPr="00985509">
              <w:t xml:space="preserve">incurred </w:t>
            </w:r>
            <w:r w:rsidRPr="00985509">
              <w:t xml:space="preserve">for </w:t>
            </w:r>
            <w:r w:rsidRPr="00985509">
              <w:t>certain medic</w:t>
            </w:r>
            <w:r w:rsidRPr="00985509">
              <w:t xml:space="preserve">al care provided to a sexual assault survivor </w:t>
            </w:r>
            <w:r w:rsidRPr="00985509">
              <w:t xml:space="preserve">for which the attorney general may make a payment to or on behalf of an individual </w:t>
            </w:r>
            <w:r w:rsidRPr="00985509">
              <w:t>are necessary costs.</w:t>
            </w:r>
            <w:r>
              <w:t xml:space="preserve"> </w:t>
            </w:r>
          </w:p>
          <w:p w:rsidR="00C85DE3" w:rsidRDefault="00AA2941" w:rsidP="005848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D0977" w:rsidRDefault="00AA2941" w:rsidP="005848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616</w:t>
            </w:r>
            <w:r>
              <w:t xml:space="preserve"> authorizes the attorney general to </w:t>
            </w:r>
            <w:r>
              <w:t xml:space="preserve">use </w:t>
            </w:r>
            <w:r>
              <w:t xml:space="preserve">the compensation to victims of crime fund to </w:t>
            </w:r>
            <w:r>
              <w:t>reimbur</w:t>
            </w:r>
            <w:r>
              <w:t>se</w:t>
            </w:r>
            <w:r w:rsidRPr="00A861C0">
              <w:t xml:space="preserve"> </w:t>
            </w:r>
            <w:r w:rsidRPr="00A861C0">
              <w:t>a health care facility</w:t>
            </w:r>
            <w:r>
              <w:t>,</w:t>
            </w:r>
            <w:r>
              <w:t xml:space="preserve"> sexual assault examiner</w:t>
            </w:r>
            <w:r>
              <w:t>,</w:t>
            </w:r>
            <w:r>
              <w:t xml:space="preserve"> </w:t>
            </w:r>
            <w:r>
              <w:t>or sexual assault nurse examiner</w:t>
            </w:r>
            <w:r w:rsidRPr="00A861C0">
              <w:t xml:space="preserve"> for </w:t>
            </w:r>
            <w:r w:rsidRPr="00985509">
              <w:t>certain costs</w:t>
            </w:r>
            <w:r w:rsidRPr="00985509">
              <w:t xml:space="preserve"> </w:t>
            </w:r>
            <w:r w:rsidRPr="00985509">
              <w:t xml:space="preserve">of a forensic medical examination that are </w:t>
            </w:r>
            <w:r w:rsidRPr="00985509">
              <w:t>incurred by the facility</w:t>
            </w:r>
            <w:r w:rsidRPr="00985509">
              <w:t xml:space="preserve"> or the examiner</w:t>
            </w:r>
            <w:r w:rsidRPr="00B26B17">
              <w:t xml:space="preserve"> </w:t>
            </w:r>
            <w:r w:rsidRPr="00B26B17">
              <w:t>in providing the</w:t>
            </w:r>
            <w:r w:rsidRPr="00B26B17">
              <w:t xml:space="preserve"> examination </w:t>
            </w:r>
            <w:r w:rsidRPr="00B26B17">
              <w:t xml:space="preserve">to </w:t>
            </w:r>
            <w:r w:rsidRPr="00B26B17">
              <w:t xml:space="preserve">a </w:t>
            </w:r>
            <w:r w:rsidRPr="00B26B17">
              <w:t>sexual assault victim</w:t>
            </w:r>
            <w:r>
              <w:t xml:space="preserve">. </w:t>
            </w:r>
          </w:p>
          <w:p w:rsidR="00A861C0" w:rsidRDefault="00AA2941" w:rsidP="005848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4770B" w:rsidRDefault="00AA2941" w:rsidP="005848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714252">
              <w:t xml:space="preserve">H.B. </w:t>
            </w:r>
            <w:r w:rsidRPr="00714252">
              <w:t>616 amends the</w:t>
            </w:r>
            <w:r>
              <w:t xml:space="preserve"> Health and Safety Code to</w:t>
            </w:r>
            <w:r>
              <w:t xml:space="preserve"> </w:t>
            </w:r>
            <w:r>
              <w:t>revise the information regarding crime victims compensation included in the standard information form for sexual assault survivors developed by</w:t>
            </w:r>
            <w:r>
              <w:t xml:space="preserve"> the Department of State Health Services </w:t>
            </w:r>
            <w:r>
              <w:t xml:space="preserve">by </w:t>
            </w:r>
            <w:r>
              <w:t>includ</w:t>
            </w:r>
            <w:r>
              <w:t>ing</w:t>
            </w:r>
            <w:r>
              <w:t xml:space="preserve"> </w:t>
            </w:r>
            <w:r w:rsidRPr="00D612AB">
              <w:t xml:space="preserve">a statement that </w:t>
            </w:r>
            <w:r>
              <w:t>p</w:t>
            </w:r>
            <w:r>
              <w:t>ublic agencies</w:t>
            </w:r>
            <w:r w:rsidRPr="00D612AB">
              <w:t xml:space="preserve"> are responsible for paying for the forensic portion of an examination and for the evidence collection kit and that </w:t>
            </w:r>
            <w:r>
              <w:t>the health care facility or provider, as applicable, is responsible for seeking</w:t>
            </w:r>
            <w:r>
              <w:t xml:space="preserve"> reimbursement for those costs and </w:t>
            </w:r>
            <w:r w:rsidRPr="00D612AB">
              <w:t xml:space="preserve">information </w:t>
            </w:r>
            <w:r w:rsidRPr="00D612AB">
              <w:t>regarding the reimbursement of the survivor for the med</w:t>
            </w:r>
            <w:r>
              <w:t xml:space="preserve">ical portion of the examination. </w:t>
            </w:r>
          </w:p>
          <w:p w:rsidR="00986963" w:rsidRDefault="00AA2941" w:rsidP="005848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D5BAA" w:rsidRDefault="00AA2941" w:rsidP="005848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616</w:t>
            </w:r>
            <w:r>
              <w:t xml:space="preserve"> repeals the following provisions:</w:t>
            </w:r>
          </w:p>
          <w:p w:rsidR="00FD022B" w:rsidRDefault="00AA2941" w:rsidP="00584894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FD022B">
              <w:t>Article 56.06(c)</w:t>
            </w:r>
            <w:r>
              <w:t>, Code of Criminal Procedure</w:t>
            </w:r>
          </w:p>
          <w:p w:rsidR="00FD022B" w:rsidRDefault="00AA2941" w:rsidP="00584894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FD022B">
              <w:t>Article</w:t>
            </w:r>
            <w:r>
              <w:t>s</w:t>
            </w:r>
            <w:r w:rsidRPr="00FD022B">
              <w:t xml:space="preserve"> 56.06</w:t>
            </w:r>
            <w:r>
              <w:t>5(a</w:t>
            </w:r>
            <w:r w:rsidRPr="00FD022B">
              <w:t>)</w:t>
            </w:r>
            <w:r>
              <w:t>(3)</w:t>
            </w:r>
            <w:r>
              <w:t xml:space="preserve"> and (d), Code of Criminal Procedure</w:t>
            </w:r>
          </w:p>
          <w:p w:rsidR="00986963" w:rsidRDefault="00AA2941" w:rsidP="00584894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Section </w:t>
            </w:r>
            <w:r>
              <w:t>420.031(d), Government Code</w:t>
            </w:r>
          </w:p>
          <w:p w:rsidR="008423E4" w:rsidRPr="00835628" w:rsidRDefault="00AA2941" w:rsidP="0058489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A1336F" w:rsidTr="00345119">
        <w:tc>
          <w:tcPr>
            <w:tcW w:w="9576" w:type="dxa"/>
          </w:tcPr>
          <w:p w:rsidR="008423E4" w:rsidRPr="00A8133F" w:rsidRDefault="00AA2941" w:rsidP="0058489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A2941" w:rsidP="00584894"/>
          <w:p w:rsidR="008423E4" w:rsidRPr="003624F2" w:rsidRDefault="00AA2941" w:rsidP="005848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A2941" w:rsidP="00584894">
            <w:pPr>
              <w:rPr>
                <w:b/>
              </w:rPr>
            </w:pPr>
          </w:p>
        </w:tc>
      </w:tr>
      <w:tr w:rsidR="00A1336F" w:rsidTr="00345119">
        <w:tc>
          <w:tcPr>
            <w:tcW w:w="9576" w:type="dxa"/>
          </w:tcPr>
          <w:p w:rsidR="00E365D3" w:rsidRPr="00E365D3" w:rsidRDefault="00AA2941" w:rsidP="0058489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365D3" w:rsidRDefault="00AA2941" w:rsidP="00584894">
            <w:pPr>
              <w:jc w:val="both"/>
            </w:pPr>
            <w:r>
              <w:t>While C.S.H.B.</w:t>
            </w:r>
            <w:r>
              <w:t xml:space="preserve"> 616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:rsidR="00F03F32" w:rsidRDefault="00AA2941" w:rsidP="00584894">
            <w:pPr>
              <w:jc w:val="both"/>
            </w:pPr>
          </w:p>
          <w:p w:rsidR="00F03F32" w:rsidRDefault="00AA2941" w:rsidP="00584894">
            <w:pPr>
              <w:jc w:val="both"/>
            </w:pPr>
            <w:r>
              <w:t>The substitute includes the following:</w:t>
            </w:r>
          </w:p>
          <w:p w:rsidR="00F03F32" w:rsidRDefault="00AA2941" w:rsidP="00584894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</w:pPr>
            <w:r>
              <w:t>provision</w:t>
            </w:r>
            <w:r>
              <w:t>s</w:t>
            </w:r>
            <w:r>
              <w:t xml:space="preserve"> extending the </w:t>
            </w:r>
            <w:r w:rsidRPr="008600C4">
              <w:t>perio</w:t>
            </w:r>
            <w:r w:rsidRPr="008600C4">
              <w:t>d within which a sexual assault offense must be reported</w:t>
            </w:r>
            <w:r>
              <w:t xml:space="preserve">, or within which the victim must arrive at a health care facility, </w:t>
            </w:r>
            <w:r w:rsidRPr="008600C4">
              <w:t xml:space="preserve">for the victim of the offense to </w:t>
            </w:r>
            <w:r>
              <w:t xml:space="preserve">be </w:t>
            </w:r>
            <w:r>
              <w:t>entitled to a forensic medical examination;</w:t>
            </w:r>
          </w:p>
          <w:p w:rsidR="00272893" w:rsidRDefault="00AA2941" w:rsidP="00584894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</w:pPr>
            <w:r>
              <w:t>an authorization for a law enforcement agency to dec</w:t>
            </w:r>
            <w:r>
              <w:t xml:space="preserve">line to request a forensic medical examination </w:t>
            </w:r>
            <w:r>
              <w:t>for a</w:t>
            </w:r>
            <w:r>
              <w:t xml:space="preserve"> s</w:t>
            </w:r>
            <w:r>
              <w:t>exual assault</w:t>
            </w:r>
            <w:r>
              <w:t xml:space="preserve"> victim if the sexual assault was not timely reported;</w:t>
            </w:r>
            <w:r>
              <w:t xml:space="preserve"> and</w:t>
            </w:r>
          </w:p>
          <w:p w:rsidR="00272893" w:rsidRDefault="00AA2941" w:rsidP="00584894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</w:pPr>
            <w:r>
              <w:t xml:space="preserve">documentation </w:t>
            </w:r>
            <w:r w:rsidRPr="00CD524F">
              <w:t xml:space="preserve">requirements for a law enforcement agency regarding requests for </w:t>
            </w:r>
            <w:r>
              <w:t>a forensic medical examination for a sexual assault</w:t>
            </w:r>
            <w:r>
              <w:t xml:space="preserve"> victim who reported the assault to the agency.</w:t>
            </w:r>
          </w:p>
          <w:p w:rsidR="00676756" w:rsidRDefault="00AA2941" w:rsidP="00584894">
            <w:pPr>
              <w:jc w:val="both"/>
            </w:pPr>
          </w:p>
          <w:p w:rsidR="001514D8" w:rsidRDefault="00AA2941" w:rsidP="00584894">
            <w:pPr>
              <w:jc w:val="both"/>
            </w:pPr>
            <w:r>
              <w:t xml:space="preserve">The substitute does not include certain changes to provisions relating to the responsibility of law enforcement agencies and </w:t>
            </w:r>
            <w:r>
              <w:t>DPS</w:t>
            </w:r>
            <w:r>
              <w:t xml:space="preserve"> to pay costs associated with forensic medical examinations for sexual assault </w:t>
            </w:r>
            <w:r>
              <w:t>victims,</w:t>
            </w:r>
            <w:r>
              <w:t xml:space="preserve"> and the substitute repeals those provisions instead</w:t>
            </w:r>
            <w:r>
              <w:t xml:space="preserve">. </w:t>
            </w:r>
          </w:p>
          <w:p w:rsidR="001514D8" w:rsidRDefault="00AA2941" w:rsidP="00584894">
            <w:pPr>
              <w:jc w:val="both"/>
            </w:pPr>
          </w:p>
          <w:p w:rsidR="00676756" w:rsidRDefault="00AA2941" w:rsidP="00584894">
            <w:pPr>
              <w:jc w:val="both"/>
            </w:pPr>
            <w:r>
              <w:t>The substitute makes</w:t>
            </w:r>
            <w:r>
              <w:t xml:space="preserve"> </w:t>
            </w:r>
            <w:r>
              <w:t>the following changes with regard to the reimbursement of</w:t>
            </w:r>
            <w:r>
              <w:t xml:space="preserve"> a health care facility</w:t>
            </w:r>
            <w:r>
              <w:t xml:space="preserve"> that provide</w:t>
            </w:r>
            <w:r>
              <w:t>s</w:t>
            </w:r>
            <w:r>
              <w:t xml:space="preserve"> </w:t>
            </w:r>
            <w:r>
              <w:t xml:space="preserve">a </w:t>
            </w:r>
            <w:r>
              <w:t>forensic medi</w:t>
            </w:r>
            <w:r>
              <w:t>cal examination</w:t>
            </w:r>
            <w:r>
              <w:t xml:space="preserve"> to a sexual assault survivor</w:t>
            </w:r>
            <w:r>
              <w:t xml:space="preserve"> for</w:t>
            </w:r>
            <w:r>
              <w:t xml:space="preserve"> </w:t>
            </w:r>
            <w:r w:rsidRPr="00970359">
              <w:t>costs of the</w:t>
            </w:r>
            <w:r w:rsidRPr="00970359">
              <w:t xml:space="preserve"> forensic portion of that examination</w:t>
            </w:r>
            <w:r>
              <w:t xml:space="preserve"> and for the evidence collection kit</w:t>
            </w:r>
            <w:r>
              <w:t>:</w:t>
            </w:r>
          </w:p>
          <w:p w:rsidR="00676756" w:rsidRDefault="00AA2941" w:rsidP="00584894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</w:pPr>
            <w:r>
              <w:t xml:space="preserve">changes the amount </w:t>
            </w:r>
            <w:r>
              <w:t>of the reimbursement to an amount set by attorney general rule</w:t>
            </w:r>
            <w:r>
              <w:t>;</w:t>
            </w:r>
          </w:p>
          <w:p w:rsidR="00676756" w:rsidRDefault="00AA2941" w:rsidP="00584894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</w:pPr>
            <w:r>
              <w:t xml:space="preserve">includes a provision entitling a sexual assault examiner or sexual assault nurse examiner who </w:t>
            </w:r>
            <w:r>
              <w:t>conducts such an examination to the reimbursement, if applicable;</w:t>
            </w:r>
          </w:p>
          <w:p w:rsidR="00676756" w:rsidRDefault="00AA2941" w:rsidP="00584894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</w:pPr>
            <w:r>
              <w:t>includes requirements for the reimbursement application;</w:t>
            </w:r>
          </w:p>
          <w:p w:rsidR="00676756" w:rsidRDefault="00AA2941" w:rsidP="00584894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</w:pPr>
            <w:r>
              <w:t>includes requirements for an applicant to accept reimbursement as payment for the costs, with certain exceptions;</w:t>
            </w:r>
          </w:p>
          <w:p w:rsidR="00B13A45" w:rsidRDefault="00AA2941" w:rsidP="00584894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</w:pPr>
            <w:r>
              <w:t>includes</w:t>
            </w:r>
            <w:r>
              <w:t xml:space="preserve"> authorizat</w:t>
            </w:r>
            <w:r>
              <w:t>ion</w:t>
            </w:r>
            <w:r>
              <w:t>s</w:t>
            </w:r>
            <w:r>
              <w:t xml:space="preserve"> for the attorney general to provide training to a health care facility regarding the reimbursement process</w:t>
            </w:r>
            <w:r>
              <w:t>;</w:t>
            </w:r>
            <w:r>
              <w:t xml:space="preserve"> and</w:t>
            </w:r>
          </w:p>
          <w:p w:rsidR="00B41545" w:rsidRDefault="00AA2941" w:rsidP="00584894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</w:pPr>
            <w:r>
              <w:t>includes a</w:t>
            </w:r>
            <w:r>
              <w:t xml:space="preserve"> </w:t>
            </w:r>
            <w:r>
              <w:t>provision</w:t>
            </w:r>
            <w:r>
              <w:t xml:space="preserve"> specifying the health care facilities to which provisions relating to examinations for victims who report the assault </w:t>
            </w:r>
            <w:r>
              <w:t>apply</w:t>
            </w:r>
            <w:r>
              <w:t>.</w:t>
            </w:r>
          </w:p>
          <w:p w:rsidR="00B41545" w:rsidRDefault="00AA2941" w:rsidP="00584894">
            <w:pPr>
              <w:pStyle w:val="ListParagraph"/>
              <w:spacing w:before="120" w:after="120"/>
              <w:jc w:val="both"/>
            </w:pPr>
            <w:r>
              <w:t xml:space="preserve"> </w:t>
            </w:r>
          </w:p>
          <w:p w:rsidR="006252C0" w:rsidRDefault="00AA2941" w:rsidP="00584894">
            <w:pPr>
              <w:jc w:val="both"/>
            </w:pPr>
            <w:r>
              <w:t xml:space="preserve">The substitute </w:t>
            </w:r>
            <w:r>
              <w:t xml:space="preserve">includes </w:t>
            </w:r>
            <w:r>
              <w:t>a requirement for the attorney general to adopt</w:t>
            </w:r>
            <w:r>
              <w:t xml:space="preserve"> rules</w:t>
            </w:r>
            <w:r>
              <w:t xml:space="preserve"> </w:t>
            </w:r>
            <w:r>
              <w:t>regarding the examinations</w:t>
            </w:r>
            <w:r>
              <w:t xml:space="preserve"> for victims who have reported the assault</w:t>
            </w:r>
            <w:r>
              <w:t>.</w:t>
            </w:r>
          </w:p>
          <w:p w:rsidR="006252C0" w:rsidRDefault="00AA2941" w:rsidP="00584894"/>
          <w:p w:rsidR="002E5BD0" w:rsidRDefault="00AA2941" w:rsidP="00584894">
            <w:pPr>
              <w:jc w:val="both"/>
            </w:pPr>
            <w:r>
              <w:t>The substitute includes provisions specifying that the costs</w:t>
            </w:r>
            <w:r>
              <w:t xml:space="preserve"> incurred for certain medical care pro</w:t>
            </w:r>
            <w:r>
              <w:t xml:space="preserve">vided to a sexual assault victim for which the attorney general may make a payment to or on behalf of an individual </w:t>
            </w:r>
            <w:r>
              <w:t xml:space="preserve">are necessary costs. </w:t>
            </w:r>
          </w:p>
          <w:p w:rsidR="007B36CC" w:rsidRDefault="00AA2941" w:rsidP="00584894">
            <w:pPr>
              <w:jc w:val="both"/>
            </w:pPr>
          </w:p>
          <w:p w:rsidR="0089151D" w:rsidRDefault="00AA2941" w:rsidP="00584894">
            <w:pPr>
              <w:jc w:val="both"/>
            </w:pPr>
            <w:r>
              <w:t xml:space="preserve">The substitute changes </w:t>
            </w:r>
            <w:r>
              <w:t>provisions regarding the</w:t>
            </w:r>
            <w:r>
              <w:t xml:space="preserve"> use of the compensation to victims of crime fund </w:t>
            </w:r>
            <w:r>
              <w:t>to reimburse</w:t>
            </w:r>
            <w:r>
              <w:t xml:space="preserve"> </w:t>
            </w:r>
            <w:r>
              <w:t>costs o</w:t>
            </w:r>
            <w:r>
              <w:t>f a forensic medical examination of a sexual assault victim</w:t>
            </w:r>
            <w:r>
              <w:t xml:space="preserve">. </w:t>
            </w:r>
          </w:p>
          <w:p w:rsidR="0089151D" w:rsidRDefault="00AA2941" w:rsidP="00584894">
            <w:pPr>
              <w:jc w:val="both"/>
            </w:pPr>
          </w:p>
          <w:p w:rsidR="00A14A5C" w:rsidRDefault="00AA2941" w:rsidP="00584894">
            <w:pPr>
              <w:jc w:val="both"/>
            </w:pPr>
            <w:r>
              <w:t xml:space="preserve">The </w:t>
            </w:r>
            <w:r>
              <w:t xml:space="preserve">substitute </w:t>
            </w:r>
            <w:r>
              <w:t xml:space="preserve">changes the revised </w:t>
            </w:r>
            <w:r w:rsidRPr="007B36CC">
              <w:t xml:space="preserve">information regarding crime victims compensation included in the standard information form for sexual assault survivors developed by the Department of State </w:t>
            </w:r>
            <w:r w:rsidRPr="007B36CC">
              <w:t>Health Services</w:t>
            </w:r>
            <w:r>
              <w:t>.</w:t>
            </w:r>
          </w:p>
          <w:p w:rsidR="00E365D3" w:rsidRPr="00E365D3" w:rsidRDefault="00AA2941" w:rsidP="00584894">
            <w:pPr>
              <w:jc w:val="both"/>
            </w:pPr>
          </w:p>
        </w:tc>
      </w:tr>
      <w:tr w:rsidR="00A1336F" w:rsidTr="00345119">
        <w:tc>
          <w:tcPr>
            <w:tcW w:w="9576" w:type="dxa"/>
          </w:tcPr>
          <w:p w:rsidR="004A5DB8" w:rsidRPr="009C1E9A" w:rsidRDefault="00AA2941" w:rsidP="00584894">
            <w:pPr>
              <w:rPr>
                <w:b/>
                <w:u w:val="single"/>
              </w:rPr>
            </w:pPr>
          </w:p>
        </w:tc>
      </w:tr>
      <w:tr w:rsidR="00A1336F" w:rsidTr="00345119">
        <w:tc>
          <w:tcPr>
            <w:tcW w:w="9576" w:type="dxa"/>
          </w:tcPr>
          <w:p w:rsidR="004A5DB8" w:rsidRPr="004A5DB8" w:rsidRDefault="00AA2941" w:rsidP="00584894">
            <w:pPr>
              <w:jc w:val="both"/>
            </w:pPr>
          </w:p>
        </w:tc>
      </w:tr>
    </w:tbl>
    <w:p w:rsidR="008423E4" w:rsidRPr="00BE0E75" w:rsidRDefault="00AA294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A294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A2941">
      <w:r>
        <w:separator/>
      </w:r>
    </w:p>
  </w:endnote>
  <w:endnote w:type="continuationSeparator" w:id="0">
    <w:p w:rsidR="00000000" w:rsidRDefault="00AA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A2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1336F" w:rsidTr="009C1E9A">
      <w:trPr>
        <w:cantSplit/>
      </w:trPr>
      <w:tc>
        <w:tcPr>
          <w:tcW w:w="0" w:type="pct"/>
        </w:tcPr>
        <w:p w:rsidR="00137D90" w:rsidRDefault="00AA29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A29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A29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A29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A29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1336F" w:rsidTr="009C1E9A">
      <w:trPr>
        <w:cantSplit/>
      </w:trPr>
      <w:tc>
        <w:tcPr>
          <w:tcW w:w="0" w:type="pct"/>
        </w:tcPr>
        <w:p w:rsidR="00EC379B" w:rsidRDefault="00AA29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A294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21279</w:t>
          </w:r>
        </w:p>
      </w:tc>
      <w:tc>
        <w:tcPr>
          <w:tcW w:w="2453" w:type="pct"/>
        </w:tcPr>
        <w:p w:rsidR="00EC379B" w:rsidRDefault="00AA29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19.82.65</w:t>
          </w:r>
          <w:r>
            <w:fldChar w:fldCharType="end"/>
          </w:r>
        </w:p>
      </w:tc>
    </w:tr>
    <w:tr w:rsidR="00A1336F" w:rsidTr="009C1E9A">
      <w:trPr>
        <w:cantSplit/>
      </w:trPr>
      <w:tc>
        <w:tcPr>
          <w:tcW w:w="0" w:type="pct"/>
        </w:tcPr>
        <w:p w:rsidR="00EC379B" w:rsidRDefault="00AA29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A29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18424</w:t>
          </w:r>
        </w:p>
      </w:tc>
      <w:tc>
        <w:tcPr>
          <w:tcW w:w="2453" w:type="pct"/>
        </w:tcPr>
        <w:p w:rsidR="00EC379B" w:rsidRDefault="00AA2941" w:rsidP="006D504F">
          <w:pPr>
            <w:pStyle w:val="Footer"/>
            <w:rPr>
              <w:rStyle w:val="PageNumber"/>
            </w:rPr>
          </w:pPr>
        </w:p>
        <w:p w:rsidR="00EC379B" w:rsidRDefault="00AA29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1336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A294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AA294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A294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A2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A2941">
      <w:r>
        <w:separator/>
      </w:r>
    </w:p>
  </w:footnote>
  <w:footnote w:type="continuationSeparator" w:id="0">
    <w:p w:rsidR="00000000" w:rsidRDefault="00AA2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A2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A29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A2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0AD"/>
    <w:multiLevelType w:val="hybridMultilevel"/>
    <w:tmpl w:val="BD38B114"/>
    <w:lvl w:ilvl="0" w:tplc="419EA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16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1EAF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80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0AC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3A5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6C4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487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9E0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212"/>
    <w:multiLevelType w:val="hybridMultilevel"/>
    <w:tmpl w:val="EE90CA28"/>
    <w:lvl w:ilvl="0" w:tplc="9172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28BD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3A5A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6E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A3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3CB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EC1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0BF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98A8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E7C98"/>
    <w:multiLevelType w:val="hybridMultilevel"/>
    <w:tmpl w:val="3AF070CA"/>
    <w:lvl w:ilvl="0" w:tplc="8C46F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4A7B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5A86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A9C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E4C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0C5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EF3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65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2B4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956D8"/>
    <w:multiLevelType w:val="hybridMultilevel"/>
    <w:tmpl w:val="DEB08492"/>
    <w:lvl w:ilvl="0" w:tplc="A9466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786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D618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07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0A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186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A6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0E2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6686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72621"/>
    <w:multiLevelType w:val="hybridMultilevel"/>
    <w:tmpl w:val="0B202014"/>
    <w:lvl w:ilvl="0" w:tplc="9AD6A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697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BC1F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635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8E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20C5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4B2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21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60B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B384B"/>
    <w:multiLevelType w:val="hybridMultilevel"/>
    <w:tmpl w:val="032E6640"/>
    <w:lvl w:ilvl="0" w:tplc="30E2A770">
      <w:start w:val="1"/>
      <w:numFmt w:val="decimal"/>
      <w:lvlText w:val="(%1)"/>
      <w:lvlJc w:val="left"/>
      <w:pPr>
        <w:ind w:left="860" w:hanging="500"/>
      </w:pPr>
      <w:rPr>
        <w:rFonts w:hint="default"/>
      </w:rPr>
    </w:lvl>
    <w:lvl w:ilvl="1" w:tplc="F2960308">
      <w:start w:val="1"/>
      <w:numFmt w:val="upperLetter"/>
      <w:lvlText w:val="(%2)"/>
      <w:lvlJc w:val="left"/>
      <w:pPr>
        <w:ind w:left="1550" w:hanging="470"/>
      </w:pPr>
      <w:rPr>
        <w:rFonts w:hint="default"/>
      </w:rPr>
    </w:lvl>
    <w:lvl w:ilvl="2" w:tplc="8E82BEB6" w:tentative="1">
      <w:start w:val="1"/>
      <w:numFmt w:val="lowerRoman"/>
      <w:lvlText w:val="%3."/>
      <w:lvlJc w:val="right"/>
      <w:pPr>
        <w:ind w:left="2160" w:hanging="180"/>
      </w:pPr>
    </w:lvl>
    <w:lvl w:ilvl="3" w:tplc="CD640434" w:tentative="1">
      <w:start w:val="1"/>
      <w:numFmt w:val="decimal"/>
      <w:lvlText w:val="%4."/>
      <w:lvlJc w:val="left"/>
      <w:pPr>
        <w:ind w:left="2880" w:hanging="360"/>
      </w:pPr>
    </w:lvl>
    <w:lvl w:ilvl="4" w:tplc="85661D90" w:tentative="1">
      <w:start w:val="1"/>
      <w:numFmt w:val="lowerLetter"/>
      <w:lvlText w:val="%5."/>
      <w:lvlJc w:val="left"/>
      <w:pPr>
        <w:ind w:left="3600" w:hanging="360"/>
      </w:pPr>
    </w:lvl>
    <w:lvl w:ilvl="5" w:tplc="5F68B068" w:tentative="1">
      <w:start w:val="1"/>
      <w:numFmt w:val="lowerRoman"/>
      <w:lvlText w:val="%6."/>
      <w:lvlJc w:val="right"/>
      <w:pPr>
        <w:ind w:left="4320" w:hanging="180"/>
      </w:pPr>
    </w:lvl>
    <w:lvl w:ilvl="6" w:tplc="1D048E80" w:tentative="1">
      <w:start w:val="1"/>
      <w:numFmt w:val="decimal"/>
      <w:lvlText w:val="%7."/>
      <w:lvlJc w:val="left"/>
      <w:pPr>
        <w:ind w:left="5040" w:hanging="360"/>
      </w:pPr>
    </w:lvl>
    <w:lvl w:ilvl="7" w:tplc="4EF43706" w:tentative="1">
      <w:start w:val="1"/>
      <w:numFmt w:val="lowerLetter"/>
      <w:lvlText w:val="%8."/>
      <w:lvlJc w:val="left"/>
      <w:pPr>
        <w:ind w:left="5760" w:hanging="360"/>
      </w:pPr>
    </w:lvl>
    <w:lvl w:ilvl="8" w:tplc="735AA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D3F42"/>
    <w:multiLevelType w:val="hybridMultilevel"/>
    <w:tmpl w:val="02CA58A4"/>
    <w:lvl w:ilvl="0" w:tplc="8884D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271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1A4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AE2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E3B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4AD9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2B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C0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6E8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6F"/>
    <w:rsid w:val="00A1336F"/>
    <w:rsid w:val="00AA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5FE32D-1B18-4823-ADC4-9553FBCA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142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42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42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4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4252"/>
    <w:rPr>
      <w:b/>
      <w:bCs/>
    </w:rPr>
  </w:style>
  <w:style w:type="paragraph" w:styleId="ListParagraph">
    <w:name w:val="List Paragraph"/>
    <w:basedOn w:val="Normal"/>
    <w:uiPriority w:val="34"/>
    <w:qFormat/>
    <w:rsid w:val="00587F21"/>
    <w:pPr>
      <w:ind w:left="720"/>
      <w:contextualSpacing/>
    </w:pPr>
  </w:style>
  <w:style w:type="paragraph" w:styleId="Revision">
    <w:name w:val="Revision"/>
    <w:hidden/>
    <w:uiPriority w:val="99"/>
    <w:semiHidden/>
    <w:rsid w:val="007131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1369</Words>
  <Characters>7554</Characters>
  <Application>Microsoft Office Word</Application>
  <DocSecurity>4</DocSecurity>
  <Lines>153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HB00616 (Committee Report (Substituted))</vt:lpstr>
    </vt:vector>
  </TitlesOfParts>
  <Company>State of Texas</Company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21279</dc:subject>
  <dc:creator>State of Texas</dc:creator>
  <dc:description>HB 616 by Neave-(H)Homeland Security &amp; Public Safety (Substitute Document Number: 86R 18424)</dc:description>
  <cp:lastModifiedBy>Laura Ramsay</cp:lastModifiedBy>
  <cp:revision>2</cp:revision>
  <cp:lastPrinted>2019-03-22T22:58:00Z</cp:lastPrinted>
  <dcterms:created xsi:type="dcterms:W3CDTF">2019-03-25T21:13:00Z</dcterms:created>
  <dcterms:modified xsi:type="dcterms:W3CDTF">2019-03-25T21:13:00Z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19.82.65</vt:lpwstr>
  </property>
</Properties>
</file>