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707103" w:rsidTr="00345119">
        <w:tc>
          <w:tcPr>
            <w:tcW w:w="9576" w:type="dxa"/>
            <w:noWrap/>
          </w:tcPr>
          <w:p w:rsidR="008423E4" w:rsidRPr="0022177D" w:rsidRDefault="00032127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032127" w:rsidP="008423E4">
      <w:pPr>
        <w:jc w:val="center"/>
      </w:pPr>
    </w:p>
    <w:p w:rsidR="008423E4" w:rsidRPr="00B31F0E" w:rsidRDefault="00032127" w:rsidP="008423E4"/>
    <w:p w:rsidR="008423E4" w:rsidRPr="00742794" w:rsidRDefault="00032127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07103" w:rsidTr="00345119">
        <w:tc>
          <w:tcPr>
            <w:tcW w:w="9576" w:type="dxa"/>
          </w:tcPr>
          <w:p w:rsidR="008423E4" w:rsidRPr="00861995" w:rsidRDefault="00032127" w:rsidP="00345119">
            <w:pPr>
              <w:jc w:val="right"/>
            </w:pPr>
            <w:r>
              <w:t>C.S.H.B. 625</w:t>
            </w:r>
          </w:p>
        </w:tc>
      </w:tr>
      <w:tr w:rsidR="00707103" w:rsidTr="00345119">
        <w:tc>
          <w:tcPr>
            <w:tcW w:w="9576" w:type="dxa"/>
          </w:tcPr>
          <w:p w:rsidR="008423E4" w:rsidRPr="00861995" w:rsidRDefault="00032127" w:rsidP="00AD3F36">
            <w:pPr>
              <w:jc w:val="right"/>
            </w:pPr>
            <w:r>
              <w:t xml:space="preserve">By: </w:t>
            </w:r>
            <w:r>
              <w:t>Neave</w:t>
            </w:r>
          </w:p>
        </w:tc>
      </w:tr>
      <w:tr w:rsidR="00707103" w:rsidTr="00345119">
        <w:tc>
          <w:tcPr>
            <w:tcW w:w="9576" w:type="dxa"/>
          </w:tcPr>
          <w:p w:rsidR="008423E4" w:rsidRPr="00861995" w:rsidRDefault="00032127" w:rsidP="00345119">
            <w:pPr>
              <w:jc w:val="right"/>
            </w:pPr>
            <w:r>
              <w:t>Judiciary &amp; Civil Jurisprudence</w:t>
            </w:r>
          </w:p>
        </w:tc>
      </w:tr>
      <w:tr w:rsidR="00707103" w:rsidTr="00345119">
        <w:tc>
          <w:tcPr>
            <w:tcW w:w="9576" w:type="dxa"/>
          </w:tcPr>
          <w:p w:rsidR="008423E4" w:rsidRDefault="00032127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032127" w:rsidP="008423E4">
      <w:pPr>
        <w:tabs>
          <w:tab w:val="right" w:pos="9360"/>
        </w:tabs>
      </w:pPr>
    </w:p>
    <w:p w:rsidR="008423E4" w:rsidRDefault="00032127" w:rsidP="008423E4"/>
    <w:p w:rsidR="008423E4" w:rsidRDefault="00032127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707103" w:rsidTr="00345119">
        <w:tc>
          <w:tcPr>
            <w:tcW w:w="9576" w:type="dxa"/>
          </w:tcPr>
          <w:p w:rsidR="008423E4" w:rsidRPr="00A8133F" w:rsidRDefault="00032127" w:rsidP="0021717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032127" w:rsidP="00217171"/>
          <w:p w:rsidR="008423E4" w:rsidRDefault="00032127" w:rsidP="0021717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0662D4">
              <w:t xml:space="preserve">Concerns have been raised </w:t>
            </w:r>
            <w:r>
              <w:t>regarding those</w:t>
            </w:r>
            <w:r w:rsidRPr="000662D4">
              <w:t xml:space="preserve"> in the towing industry</w:t>
            </w:r>
            <w:r>
              <w:t xml:space="preserve"> who</w:t>
            </w:r>
            <w:r w:rsidRPr="000662D4">
              <w:t xml:space="preserve"> </w:t>
            </w:r>
            <w:r>
              <w:t xml:space="preserve">unlawfully tow the vehicles of </w:t>
            </w:r>
            <w:r w:rsidRPr="000662D4">
              <w:t xml:space="preserve">vulnerable individuals. </w:t>
            </w:r>
            <w:r>
              <w:t xml:space="preserve">It has been suggested that the deadline by which </w:t>
            </w:r>
            <w:r>
              <w:t xml:space="preserve">individuals victimized by this practice </w:t>
            </w:r>
            <w:r>
              <w:t xml:space="preserve">may </w:t>
            </w:r>
            <w:r w:rsidRPr="000662D4">
              <w:t>request a hearing and contest the tow</w:t>
            </w:r>
            <w:r>
              <w:t xml:space="preserve"> does not afford </w:t>
            </w:r>
            <w:r>
              <w:t xml:space="preserve">those individuals </w:t>
            </w:r>
            <w:r>
              <w:t>a sufficient amount of time</w:t>
            </w:r>
            <w:r w:rsidRPr="000662D4">
              <w:t xml:space="preserve"> </w:t>
            </w:r>
            <w:r>
              <w:t>to understand</w:t>
            </w:r>
            <w:r w:rsidRPr="000662D4">
              <w:t xml:space="preserve"> </w:t>
            </w:r>
            <w:r>
              <w:t xml:space="preserve">their right to do so </w:t>
            </w:r>
            <w:r>
              <w:t xml:space="preserve">and </w:t>
            </w:r>
            <w:r>
              <w:t xml:space="preserve">to </w:t>
            </w:r>
            <w:r>
              <w:t>seek legal redress</w:t>
            </w:r>
            <w:r w:rsidRPr="000662D4">
              <w:t xml:space="preserve">. </w:t>
            </w:r>
            <w:r>
              <w:t>C.S.</w:t>
            </w:r>
            <w:r w:rsidRPr="000662D4">
              <w:t xml:space="preserve">H.B. 625 </w:t>
            </w:r>
            <w:r>
              <w:t xml:space="preserve">seeks to address this issue by </w:t>
            </w:r>
            <w:r w:rsidRPr="000662D4">
              <w:t>extend</w:t>
            </w:r>
            <w:r>
              <w:t>ing the deadline to request such a hearing</w:t>
            </w:r>
            <w:r w:rsidRPr="000662D4">
              <w:t>.</w:t>
            </w:r>
          </w:p>
          <w:p w:rsidR="008423E4" w:rsidRPr="00E26B13" w:rsidRDefault="00032127" w:rsidP="00217171">
            <w:pPr>
              <w:rPr>
                <w:b/>
              </w:rPr>
            </w:pPr>
          </w:p>
        </w:tc>
      </w:tr>
      <w:tr w:rsidR="00707103" w:rsidTr="00345119">
        <w:tc>
          <w:tcPr>
            <w:tcW w:w="9576" w:type="dxa"/>
          </w:tcPr>
          <w:p w:rsidR="0017725B" w:rsidRDefault="00032127" w:rsidP="0021717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032127" w:rsidP="00217171">
            <w:pPr>
              <w:rPr>
                <w:b/>
                <w:u w:val="single"/>
              </w:rPr>
            </w:pPr>
          </w:p>
          <w:p w:rsidR="000E1182" w:rsidRPr="000E1182" w:rsidRDefault="00032127" w:rsidP="00217171">
            <w:pPr>
              <w:jc w:val="both"/>
            </w:pPr>
            <w:r>
              <w:t xml:space="preserve">It is the committee's opinion that this bill does not expressly create a criminal offense, increase the </w:t>
            </w:r>
            <w:r>
              <w:t>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032127" w:rsidP="00217171">
            <w:pPr>
              <w:rPr>
                <w:b/>
                <w:u w:val="single"/>
              </w:rPr>
            </w:pPr>
          </w:p>
        </w:tc>
      </w:tr>
      <w:tr w:rsidR="00707103" w:rsidTr="00345119">
        <w:tc>
          <w:tcPr>
            <w:tcW w:w="9576" w:type="dxa"/>
          </w:tcPr>
          <w:p w:rsidR="008423E4" w:rsidRPr="00A8133F" w:rsidRDefault="00032127" w:rsidP="0021717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032127" w:rsidP="00217171"/>
          <w:p w:rsidR="000E1182" w:rsidRDefault="00032127" w:rsidP="0021717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</w:t>
            </w:r>
            <w:r>
              <w:t xml:space="preserve"> grant any additional rulemaking authority to a state officer, department, agency, or institution.</w:t>
            </w:r>
          </w:p>
          <w:p w:rsidR="008423E4" w:rsidRPr="00E21FDC" w:rsidRDefault="00032127" w:rsidP="00217171">
            <w:pPr>
              <w:rPr>
                <w:b/>
              </w:rPr>
            </w:pPr>
          </w:p>
        </w:tc>
      </w:tr>
      <w:tr w:rsidR="00707103" w:rsidTr="00345119">
        <w:tc>
          <w:tcPr>
            <w:tcW w:w="9576" w:type="dxa"/>
          </w:tcPr>
          <w:p w:rsidR="008423E4" w:rsidRPr="00A8133F" w:rsidRDefault="00032127" w:rsidP="0021717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032127" w:rsidP="00217171"/>
          <w:p w:rsidR="008423E4" w:rsidRDefault="00032127" w:rsidP="0021717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>H.B. 625 amends the Occupations Code to</w:t>
            </w:r>
            <w:r>
              <w:t xml:space="preserve"> extend the deadline by which a person entitled to a hearing under the Texas Towing and Booting Act must deliver a written request for the hearing to the court </w:t>
            </w:r>
            <w:r>
              <w:t xml:space="preserve">from </w:t>
            </w:r>
            <w:r>
              <w:t xml:space="preserve">before </w:t>
            </w:r>
            <w:r>
              <w:t xml:space="preserve">the </w:t>
            </w:r>
            <w:r>
              <w:t xml:space="preserve">14th day after the date </w:t>
            </w:r>
            <w:r>
              <w:t xml:space="preserve">the applicable </w:t>
            </w:r>
            <w:r>
              <w:t>vehicle was removed and placed in a vehic</w:t>
            </w:r>
            <w:r>
              <w:t>le storage facility or booted</w:t>
            </w:r>
            <w:r>
              <w:t>, excluding weekend days and legal holidays,</w:t>
            </w:r>
            <w:r>
              <w:t xml:space="preserve"> </w:t>
            </w:r>
            <w:r>
              <w:t>to</w:t>
            </w:r>
            <w:r>
              <w:t xml:space="preserve"> before</w:t>
            </w:r>
            <w:r>
              <w:t xml:space="preserve"> the 60th day</w:t>
            </w:r>
            <w:r>
              <w:t xml:space="preserve"> after that date</w:t>
            </w:r>
            <w:r>
              <w:t xml:space="preserve">, </w:t>
            </w:r>
            <w:r w:rsidRPr="00CF0713">
              <w:t xml:space="preserve">excluding </w:t>
            </w:r>
            <w:r>
              <w:t>those days and holidays</w:t>
            </w:r>
            <w:r>
              <w:t>. The bill limits</w:t>
            </w:r>
            <w:r>
              <w:t xml:space="preserve"> this extension to a person whose</w:t>
            </w:r>
            <w:r>
              <w:t xml:space="preserve"> vehicle is released from the vehicle storage facility befo</w:t>
            </w:r>
            <w:r>
              <w:t xml:space="preserve">re the 20th day after the date the vehicle was removed and placed in the facility, excluding </w:t>
            </w:r>
            <w:r>
              <w:t>those days</w:t>
            </w:r>
            <w:r>
              <w:t xml:space="preserve"> and holidays.</w:t>
            </w:r>
            <w:r>
              <w:t xml:space="preserve"> </w:t>
            </w:r>
            <w:r>
              <w:t xml:space="preserve"> </w:t>
            </w:r>
            <w:r>
              <w:t xml:space="preserve">        </w:t>
            </w:r>
          </w:p>
          <w:p w:rsidR="008423E4" w:rsidRPr="00835628" w:rsidRDefault="00032127" w:rsidP="00217171">
            <w:pPr>
              <w:rPr>
                <w:b/>
              </w:rPr>
            </w:pPr>
          </w:p>
        </w:tc>
      </w:tr>
      <w:tr w:rsidR="00707103" w:rsidTr="00345119">
        <w:tc>
          <w:tcPr>
            <w:tcW w:w="9576" w:type="dxa"/>
          </w:tcPr>
          <w:p w:rsidR="008423E4" w:rsidRPr="00A8133F" w:rsidRDefault="00032127" w:rsidP="0021717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032127" w:rsidP="00217171"/>
          <w:p w:rsidR="008423E4" w:rsidRPr="003624F2" w:rsidRDefault="00032127" w:rsidP="0021717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032127" w:rsidP="00217171">
            <w:pPr>
              <w:rPr>
                <w:b/>
              </w:rPr>
            </w:pPr>
          </w:p>
        </w:tc>
      </w:tr>
      <w:tr w:rsidR="00707103" w:rsidTr="00345119">
        <w:tc>
          <w:tcPr>
            <w:tcW w:w="9576" w:type="dxa"/>
          </w:tcPr>
          <w:p w:rsidR="00AD3F36" w:rsidRDefault="00032127" w:rsidP="00217171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B55368" w:rsidRDefault="00032127" w:rsidP="00217171">
            <w:pPr>
              <w:jc w:val="both"/>
            </w:pPr>
          </w:p>
          <w:p w:rsidR="00B55368" w:rsidRDefault="00032127" w:rsidP="00217171">
            <w:pPr>
              <w:jc w:val="both"/>
            </w:pPr>
            <w:r>
              <w:t xml:space="preserve">While C.S.H.B. 625 may differ from the original </w:t>
            </w:r>
            <w:r>
              <w:t>in minor or nonsubstantive ways, the following summarizes the substantial differences between the introduced and committee substitute versions of the bill.</w:t>
            </w:r>
          </w:p>
          <w:p w:rsidR="00B55368" w:rsidRDefault="00032127" w:rsidP="00217171">
            <w:pPr>
              <w:jc w:val="both"/>
            </w:pPr>
          </w:p>
          <w:p w:rsidR="00B55368" w:rsidRDefault="00032127" w:rsidP="00217171">
            <w:pPr>
              <w:jc w:val="both"/>
            </w:pPr>
            <w:r>
              <w:t xml:space="preserve">The substitute </w:t>
            </w:r>
            <w:r>
              <w:t xml:space="preserve">limits </w:t>
            </w:r>
            <w:r>
              <w:t xml:space="preserve">the applicability of </w:t>
            </w:r>
            <w:r>
              <w:t xml:space="preserve">the </w:t>
            </w:r>
            <w:r>
              <w:t xml:space="preserve">deadline </w:t>
            </w:r>
            <w:r>
              <w:t xml:space="preserve">extension for the written notice </w:t>
            </w:r>
            <w:r>
              <w:t>to a perso</w:t>
            </w:r>
            <w:r>
              <w:t xml:space="preserve">n whose vehicle </w:t>
            </w:r>
            <w:r w:rsidRPr="00B55368">
              <w:t xml:space="preserve">is released from </w:t>
            </w:r>
            <w:r>
              <w:t>a</w:t>
            </w:r>
            <w:r w:rsidRPr="00B55368">
              <w:t xml:space="preserve"> </w:t>
            </w:r>
            <w:r w:rsidRPr="00B55368">
              <w:t xml:space="preserve">vehicle storage facility </w:t>
            </w:r>
            <w:r>
              <w:t xml:space="preserve">before the 20th day </w:t>
            </w:r>
            <w:r w:rsidRPr="00B55368">
              <w:t>after the date the vehicle was remo</w:t>
            </w:r>
            <w:r>
              <w:t>ved and placed in the facility</w:t>
            </w:r>
            <w:r>
              <w:t>, excluding weekends and holidays</w:t>
            </w:r>
            <w:r>
              <w:t>.</w:t>
            </w:r>
            <w:r>
              <w:t xml:space="preserve"> </w:t>
            </w:r>
          </w:p>
          <w:p w:rsidR="00B55368" w:rsidRPr="00B55368" w:rsidRDefault="00032127" w:rsidP="00217171">
            <w:pPr>
              <w:jc w:val="both"/>
            </w:pPr>
          </w:p>
        </w:tc>
      </w:tr>
    </w:tbl>
    <w:p w:rsidR="008423E4" w:rsidRPr="0082534D" w:rsidRDefault="00032127" w:rsidP="008423E4">
      <w:pPr>
        <w:spacing w:line="480" w:lineRule="auto"/>
        <w:jc w:val="both"/>
        <w:rPr>
          <w:rFonts w:ascii="Arial" w:hAnsi="Arial"/>
          <w:sz w:val="2"/>
          <w:szCs w:val="2"/>
        </w:rPr>
      </w:pPr>
    </w:p>
    <w:p w:rsidR="004108C3" w:rsidRPr="0082534D" w:rsidRDefault="00032127" w:rsidP="008423E4">
      <w:pPr>
        <w:rPr>
          <w:sz w:val="2"/>
          <w:szCs w:val="2"/>
        </w:rPr>
      </w:pPr>
    </w:p>
    <w:sectPr w:rsidR="004108C3" w:rsidRPr="0082534D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32127">
      <w:r>
        <w:separator/>
      </w:r>
    </w:p>
  </w:endnote>
  <w:endnote w:type="continuationSeparator" w:id="0">
    <w:p w:rsidR="00000000" w:rsidRDefault="00032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321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07103" w:rsidTr="009C1E9A">
      <w:trPr>
        <w:cantSplit/>
      </w:trPr>
      <w:tc>
        <w:tcPr>
          <w:tcW w:w="0" w:type="pct"/>
        </w:tcPr>
        <w:p w:rsidR="00137D90" w:rsidRDefault="0003212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03212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03212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03212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03212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07103" w:rsidTr="009C1E9A">
      <w:trPr>
        <w:cantSplit/>
      </w:trPr>
      <w:tc>
        <w:tcPr>
          <w:tcW w:w="0" w:type="pct"/>
        </w:tcPr>
        <w:p w:rsidR="00EC379B" w:rsidRDefault="0003212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03212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22364</w:t>
          </w:r>
        </w:p>
      </w:tc>
      <w:tc>
        <w:tcPr>
          <w:tcW w:w="2453" w:type="pct"/>
        </w:tcPr>
        <w:p w:rsidR="00EC379B" w:rsidRDefault="0003212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19.86.796</w:t>
          </w:r>
          <w:r>
            <w:fldChar w:fldCharType="end"/>
          </w:r>
        </w:p>
      </w:tc>
    </w:tr>
    <w:tr w:rsidR="00707103" w:rsidTr="009C1E9A">
      <w:trPr>
        <w:cantSplit/>
      </w:trPr>
      <w:tc>
        <w:tcPr>
          <w:tcW w:w="0" w:type="pct"/>
        </w:tcPr>
        <w:p w:rsidR="00EC379B" w:rsidRDefault="0003212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03212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032127" w:rsidP="006D504F">
          <w:pPr>
            <w:pStyle w:val="Footer"/>
            <w:rPr>
              <w:rStyle w:val="PageNumber"/>
            </w:rPr>
          </w:pPr>
        </w:p>
        <w:p w:rsidR="00EC379B" w:rsidRDefault="0003212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07103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03212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032127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032127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321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32127">
      <w:r>
        <w:separator/>
      </w:r>
    </w:p>
  </w:footnote>
  <w:footnote w:type="continuationSeparator" w:id="0">
    <w:p w:rsidR="00000000" w:rsidRDefault="000321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321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321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321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103"/>
    <w:rsid w:val="00032127"/>
    <w:rsid w:val="0070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67838F0-8F26-46E7-A329-39E69B763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24FC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24F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24FC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24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24FCB"/>
    <w:rPr>
      <w:b/>
      <w:bCs/>
    </w:rPr>
  </w:style>
  <w:style w:type="paragraph" w:styleId="Revision">
    <w:name w:val="Revision"/>
    <w:hidden/>
    <w:uiPriority w:val="99"/>
    <w:semiHidden/>
    <w:rsid w:val="007937A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1948</Characters>
  <Application>Microsoft Office Word</Application>
  <DocSecurity>4</DocSecurity>
  <Lines>57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HB00625 (Committee Report (Substituted))</vt:lpstr>
    </vt:vector>
  </TitlesOfParts>
  <Company>State of Texas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22364</dc:subject>
  <dc:creator>State of Texas</dc:creator>
  <dc:description>HB 625 by Neave-(H)Judiciary &amp; Civil Jurisprudence</dc:description>
  <cp:lastModifiedBy>Stacey Nicchio</cp:lastModifiedBy>
  <cp:revision>2</cp:revision>
  <cp:lastPrinted>2003-11-26T17:21:00Z</cp:lastPrinted>
  <dcterms:created xsi:type="dcterms:W3CDTF">2019-04-11T21:38:00Z</dcterms:created>
  <dcterms:modified xsi:type="dcterms:W3CDTF">2019-04-11T21:38:00Z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19.86.796</vt:lpwstr>
  </property>
</Properties>
</file>