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752A" w:rsidTr="00345119">
        <w:tc>
          <w:tcPr>
            <w:tcW w:w="9576" w:type="dxa"/>
            <w:noWrap/>
          </w:tcPr>
          <w:p w:rsidR="008423E4" w:rsidRPr="0022177D" w:rsidRDefault="002B7A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7A1D" w:rsidP="008423E4">
      <w:pPr>
        <w:jc w:val="center"/>
      </w:pPr>
    </w:p>
    <w:p w:rsidR="008423E4" w:rsidRPr="00B31F0E" w:rsidRDefault="002B7A1D" w:rsidP="008423E4"/>
    <w:p w:rsidR="008423E4" w:rsidRPr="00742794" w:rsidRDefault="002B7A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752A" w:rsidTr="00345119">
        <w:tc>
          <w:tcPr>
            <w:tcW w:w="9576" w:type="dxa"/>
          </w:tcPr>
          <w:p w:rsidR="008423E4" w:rsidRPr="00861995" w:rsidRDefault="002B7A1D" w:rsidP="00345119">
            <w:pPr>
              <w:jc w:val="right"/>
            </w:pPr>
            <w:r>
              <w:t>C.S.H.B. 629</w:t>
            </w:r>
          </w:p>
        </w:tc>
      </w:tr>
      <w:tr w:rsidR="0031752A" w:rsidTr="00345119">
        <w:tc>
          <w:tcPr>
            <w:tcW w:w="9576" w:type="dxa"/>
          </w:tcPr>
          <w:p w:rsidR="008423E4" w:rsidRPr="00861995" w:rsidRDefault="002B7A1D" w:rsidP="00334328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31752A" w:rsidTr="00345119">
        <w:tc>
          <w:tcPr>
            <w:tcW w:w="9576" w:type="dxa"/>
          </w:tcPr>
          <w:p w:rsidR="008423E4" w:rsidRPr="00861995" w:rsidRDefault="002B7A1D" w:rsidP="00345119">
            <w:pPr>
              <w:jc w:val="right"/>
            </w:pPr>
            <w:r>
              <w:t>Homeland Security &amp; Public Safety</w:t>
            </w:r>
          </w:p>
        </w:tc>
      </w:tr>
      <w:tr w:rsidR="0031752A" w:rsidTr="00345119">
        <w:tc>
          <w:tcPr>
            <w:tcW w:w="9576" w:type="dxa"/>
          </w:tcPr>
          <w:p w:rsidR="008423E4" w:rsidRDefault="002B7A1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B7A1D" w:rsidP="008423E4">
      <w:pPr>
        <w:tabs>
          <w:tab w:val="right" w:pos="9360"/>
        </w:tabs>
      </w:pPr>
    </w:p>
    <w:p w:rsidR="008423E4" w:rsidRDefault="002B7A1D" w:rsidP="008423E4"/>
    <w:p w:rsidR="008423E4" w:rsidRDefault="002B7A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752A" w:rsidTr="00345119">
        <w:tc>
          <w:tcPr>
            <w:tcW w:w="9576" w:type="dxa"/>
          </w:tcPr>
          <w:p w:rsidR="008423E4" w:rsidRPr="00A8133F" w:rsidRDefault="002B7A1D" w:rsidP="00BB50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7A1D" w:rsidP="00BB5097"/>
          <w:p w:rsidR="008423E4" w:rsidRDefault="002B7A1D" w:rsidP="00BB5097">
            <w:pPr>
              <w:pStyle w:val="Header"/>
              <w:jc w:val="both"/>
            </w:pPr>
            <w:r>
              <w:t>It has been noted that there is not a process by which</w:t>
            </w:r>
            <w:r w:rsidRPr="00A42636">
              <w:t xml:space="preserve"> law enforcement agencies, courts, governmental entities, or the general public </w:t>
            </w:r>
            <w:r>
              <w:t xml:space="preserve">can easily access information regarding </w:t>
            </w:r>
            <w:r w:rsidRPr="00A42636">
              <w:t xml:space="preserve">individuals who are subject to </w:t>
            </w:r>
            <w:r>
              <w:t>protective orders</w:t>
            </w:r>
            <w:r w:rsidRPr="00A42636">
              <w:t xml:space="preserve"> </w:t>
            </w:r>
            <w:r>
              <w:t xml:space="preserve">relating to family violence </w:t>
            </w:r>
            <w:r>
              <w:t xml:space="preserve">and </w:t>
            </w:r>
            <w:r w:rsidRPr="00A42636">
              <w:t xml:space="preserve">that providing access to such information could reduce </w:t>
            </w:r>
            <w:r w:rsidRPr="00A42636">
              <w:t xml:space="preserve">the recurrence of </w:t>
            </w:r>
            <w:r>
              <w:t>such</w:t>
            </w:r>
            <w:r>
              <w:t xml:space="preserve"> </w:t>
            </w:r>
            <w:r w:rsidRPr="00A42636">
              <w:t>violence and save lives.</w:t>
            </w:r>
            <w:r>
              <w:t xml:space="preserve"> </w:t>
            </w:r>
            <w:r>
              <w:t>C.S.H.B.</w:t>
            </w:r>
            <w:r w:rsidRPr="00A42636">
              <w:t xml:space="preserve"> 629 seeks to address this issue by </w:t>
            </w:r>
            <w:r>
              <w:t xml:space="preserve">requiring the Office of Court Administration to establish </w:t>
            </w:r>
            <w:r w:rsidRPr="00A42636">
              <w:t>a protective order registry</w:t>
            </w:r>
            <w:r>
              <w:t xml:space="preserve"> for </w:t>
            </w:r>
            <w:r>
              <w:t xml:space="preserve">such </w:t>
            </w:r>
            <w:r>
              <w:t>purposes and setting out the duties of courts in regard to the regist</w:t>
            </w:r>
            <w:r>
              <w:t>ry</w:t>
            </w:r>
            <w:r w:rsidRPr="00A42636">
              <w:t>.</w:t>
            </w:r>
          </w:p>
          <w:p w:rsidR="008423E4" w:rsidRPr="00E26B13" w:rsidRDefault="002B7A1D" w:rsidP="00BB5097">
            <w:pPr>
              <w:rPr>
                <w:b/>
              </w:rPr>
            </w:pPr>
          </w:p>
        </w:tc>
      </w:tr>
      <w:tr w:rsidR="0031752A" w:rsidTr="00345119">
        <w:tc>
          <w:tcPr>
            <w:tcW w:w="9576" w:type="dxa"/>
          </w:tcPr>
          <w:p w:rsidR="0017725B" w:rsidRDefault="002B7A1D" w:rsidP="00BB50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7A1D" w:rsidP="00BB5097">
            <w:pPr>
              <w:rPr>
                <w:b/>
                <w:u w:val="single"/>
              </w:rPr>
            </w:pPr>
          </w:p>
          <w:p w:rsidR="002C7BFF" w:rsidRPr="002C7BFF" w:rsidRDefault="002B7A1D" w:rsidP="00BB509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2B7A1D" w:rsidP="00BB5097">
            <w:pPr>
              <w:rPr>
                <w:b/>
                <w:u w:val="single"/>
              </w:rPr>
            </w:pPr>
          </w:p>
        </w:tc>
      </w:tr>
      <w:tr w:rsidR="0031752A" w:rsidTr="00345119">
        <w:tc>
          <w:tcPr>
            <w:tcW w:w="9576" w:type="dxa"/>
          </w:tcPr>
          <w:p w:rsidR="008423E4" w:rsidRPr="00A8133F" w:rsidRDefault="002B7A1D" w:rsidP="00BB50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7A1D" w:rsidP="00BB5097"/>
          <w:p w:rsidR="002C7BFF" w:rsidRDefault="002B7A1D" w:rsidP="00BB50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7F503F">
              <w:t>Supreme Court</w:t>
            </w:r>
            <w:r>
              <w:t xml:space="preserve"> </w:t>
            </w:r>
            <w:r>
              <w:t xml:space="preserve">of Texas </w:t>
            </w:r>
            <w:r>
              <w:t>in SECTION 1 of this bill.</w:t>
            </w:r>
          </w:p>
          <w:p w:rsidR="008423E4" w:rsidRPr="00E21FDC" w:rsidRDefault="002B7A1D" w:rsidP="00BB5097">
            <w:pPr>
              <w:rPr>
                <w:b/>
              </w:rPr>
            </w:pPr>
          </w:p>
        </w:tc>
      </w:tr>
      <w:tr w:rsidR="0031752A" w:rsidTr="00345119">
        <w:tc>
          <w:tcPr>
            <w:tcW w:w="9576" w:type="dxa"/>
          </w:tcPr>
          <w:p w:rsidR="008423E4" w:rsidRPr="00A8133F" w:rsidRDefault="002B7A1D" w:rsidP="00BB5097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7A1D" w:rsidP="00BB5097">
            <w:pPr>
              <w:contextualSpacing/>
            </w:pPr>
          </w:p>
          <w:p w:rsidR="00CD35FB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C.S.H.B.</w:t>
            </w:r>
            <w:r>
              <w:t xml:space="preserve"> 629 amends the Government Code to </w:t>
            </w:r>
            <w:r>
              <w:t xml:space="preserve">require the Office of Court Administration of </w:t>
            </w:r>
            <w:r w:rsidRPr="002F07F2">
              <w:t>the Texas Judicial System</w:t>
            </w:r>
            <w:r>
              <w:t xml:space="preserve"> (OCA)</w:t>
            </w:r>
            <w:r>
              <w:t>, i</w:t>
            </w:r>
            <w:r w:rsidRPr="00033484">
              <w:t xml:space="preserve">n consultation with the Department of Public Safety and </w:t>
            </w:r>
            <w:r>
              <w:t>courts</w:t>
            </w:r>
            <w:r>
              <w:t xml:space="preserve"> of the state</w:t>
            </w:r>
            <w:r>
              <w:t xml:space="preserve">, </w:t>
            </w:r>
            <w:r>
              <w:t xml:space="preserve">to </w:t>
            </w:r>
            <w:r w:rsidRPr="002F07F2">
              <w:t xml:space="preserve">establish and maintain </w:t>
            </w:r>
            <w:r>
              <w:t>a central</w:t>
            </w:r>
            <w:r>
              <w:t>ized</w:t>
            </w:r>
            <w:r>
              <w:t xml:space="preserve"> </w:t>
            </w:r>
            <w:r w:rsidRPr="002F07F2">
              <w:t xml:space="preserve">Internet-based registry </w:t>
            </w:r>
            <w:r w:rsidRPr="002F07F2">
              <w:t xml:space="preserve">for </w:t>
            </w:r>
            <w:r>
              <w:t>the following:</w:t>
            </w:r>
          </w:p>
          <w:p w:rsidR="00CD35FB" w:rsidRDefault="002B7A1D" w:rsidP="00BB50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protective orders issued by a court in Texas to prevent family violence;</w:t>
            </w:r>
          </w:p>
          <w:p w:rsidR="002407AF" w:rsidRDefault="002B7A1D" w:rsidP="00BB50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magistrate's order</w:t>
            </w:r>
            <w:r>
              <w:t>s for emergency protection</w:t>
            </w:r>
            <w:r>
              <w:t xml:space="preserve"> </w:t>
            </w:r>
            <w:r>
              <w:t>issued</w:t>
            </w:r>
            <w:r>
              <w:t xml:space="preserve"> by a court in Texas</w:t>
            </w:r>
            <w:r>
              <w:t xml:space="preserve"> </w:t>
            </w:r>
            <w:r>
              <w:t>with respect to a person who is arrested for an offense involving family violence;</w:t>
            </w:r>
          </w:p>
          <w:p w:rsidR="00CD35FB" w:rsidRDefault="002B7A1D" w:rsidP="00BB50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applicati</w:t>
            </w:r>
            <w:r>
              <w:t>ons for such</w:t>
            </w:r>
            <w:r>
              <w:t xml:space="preserve"> protective</w:t>
            </w:r>
            <w:r>
              <w:t xml:space="preserve"> orders filed in Texas; </w:t>
            </w:r>
            <w:r>
              <w:t>and</w:t>
            </w:r>
            <w:r>
              <w:t xml:space="preserve"> </w:t>
            </w:r>
          </w:p>
          <w:p w:rsidR="00F250A6" w:rsidRDefault="002B7A1D" w:rsidP="00BB50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temporary ex parte protective orders</w:t>
            </w:r>
            <w:r>
              <w:t xml:space="preserve"> issued </w:t>
            </w:r>
            <w:r>
              <w:t xml:space="preserve">under the Family Code </w:t>
            </w:r>
            <w:r>
              <w:t>by a court</w:t>
            </w:r>
            <w:r>
              <w:t xml:space="preserve"> in Texas</w:t>
            </w:r>
            <w:r>
              <w:t>.</w:t>
            </w:r>
          </w:p>
          <w:p w:rsidR="00F250A6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FE1603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 w:rsidRPr="00FA2FE5">
              <w:t xml:space="preserve">C.S.H.B. 629 </w:t>
            </w:r>
            <w:r>
              <w:t>requires OCA</w:t>
            </w:r>
            <w:r>
              <w:t>, subject to applicable bill provisions,</w:t>
            </w:r>
            <w:r>
              <w:t xml:space="preserve"> to establish and maintain the registry</w:t>
            </w:r>
            <w:r>
              <w:t xml:space="preserve"> </w:t>
            </w:r>
            <w:r w:rsidRPr="00200326">
              <w:t>in a manner</w:t>
            </w:r>
            <w:r w:rsidRPr="00200326">
              <w:t xml:space="preserve"> that allows municipal and county case management systems to easily interface with the registry</w:t>
            </w:r>
            <w:r>
              <w:t xml:space="preserve"> and </w:t>
            </w:r>
            <w:r w:rsidRPr="00200326">
              <w:t>that allows a</w:t>
            </w:r>
            <w:r>
              <w:t xml:space="preserve"> member of the public</w:t>
            </w:r>
            <w:r>
              <w:t>, free of charge,</w:t>
            </w:r>
            <w:r>
              <w:t xml:space="preserve"> </w:t>
            </w:r>
            <w:r w:rsidRPr="00200326">
              <w:t>to electronically search for and receive</w:t>
            </w:r>
            <w:r>
              <w:t xml:space="preserve"> </w:t>
            </w:r>
            <w:r w:rsidRPr="00200326">
              <w:t>publicly accessible information contained in the registry regar</w:t>
            </w:r>
            <w:r w:rsidRPr="00200326">
              <w:t xml:space="preserve">ding </w:t>
            </w:r>
            <w:r>
              <w:t xml:space="preserve">applicable </w:t>
            </w:r>
            <w:r w:rsidRPr="00200326">
              <w:t>protective order</w:t>
            </w:r>
            <w:r>
              <w:t>s</w:t>
            </w:r>
            <w:r w:rsidRPr="00200326">
              <w:t xml:space="preserve"> issued</w:t>
            </w:r>
            <w:r>
              <w:t xml:space="preserve"> in Texas</w:t>
            </w:r>
            <w:r w:rsidRPr="00200326">
              <w:t>.</w:t>
            </w:r>
            <w:r>
              <w:t xml:space="preserve"> </w:t>
            </w:r>
          </w:p>
          <w:p w:rsidR="00FE1603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FE1603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 w:rsidRPr="00FA2FE5">
              <w:t>C.S.H.B. 629</w:t>
            </w:r>
            <w:r>
              <w:t xml:space="preserve"> requires the</w:t>
            </w:r>
            <w:r>
              <w:t xml:space="preserve"> </w:t>
            </w:r>
            <w:r>
              <w:t xml:space="preserve">publicly accessible information regarding each protective order </w:t>
            </w:r>
            <w:r>
              <w:t xml:space="preserve">to consist of </w:t>
            </w:r>
            <w:r>
              <w:t xml:space="preserve">certain </w:t>
            </w:r>
            <w:r>
              <w:t>information as prescribed by the bill</w:t>
            </w:r>
            <w:r>
              <w:t xml:space="preserve"> and specifies that </w:t>
            </w:r>
            <w:r>
              <w:t xml:space="preserve">this prescribed information is the only registry information </w:t>
            </w:r>
            <w:r>
              <w:t>a member of the public may access</w:t>
            </w:r>
            <w:r>
              <w:t xml:space="preserve">. </w:t>
            </w:r>
          </w:p>
          <w:p w:rsidR="00FE1603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FE1603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 w:rsidRPr="00FA2FE5">
              <w:t>C.S.H.B. 629</w:t>
            </w:r>
            <w:r>
              <w:t xml:space="preserve"> prohibits </w:t>
            </w:r>
            <w:r>
              <w:t>OCA</w:t>
            </w:r>
            <w:r>
              <w:t xml:space="preserve"> from allowing a member of the public to access through the registry any information related to a</w:t>
            </w:r>
            <w:r>
              <w:t>n applicable</w:t>
            </w:r>
            <w:r>
              <w:t xml:space="preserve"> </w:t>
            </w:r>
            <w:r w:rsidRPr="00B57DED">
              <w:t>magistrate's order for</w:t>
            </w:r>
            <w:r w:rsidRPr="00B57DED">
              <w:t xml:space="preserve"> emergency protection </w:t>
            </w:r>
            <w:r>
              <w:t>or a</w:t>
            </w:r>
            <w:r>
              <w:t>n applicable</w:t>
            </w:r>
            <w:r>
              <w:t xml:space="preserve"> </w:t>
            </w:r>
            <w:r w:rsidRPr="000A2279">
              <w:t>temporary ex parte protective order</w:t>
            </w:r>
            <w:r>
              <w:t>.</w:t>
            </w:r>
            <w:r>
              <w:t xml:space="preserve"> </w:t>
            </w:r>
          </w:p>
          <w:p w:rsidR="00FE1603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6063B2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 w:rsidRPr="00FA2FE5">
              <w:t>C.S.H.B. 629</w:t>
            </w:r>
            <w:r>
              <w:t xml:space="preserve"> </w:t>
            </w:r>
            <w:r>
              <w:t>requires the registry to be searchable by the county of issuance and by the name and birth year of a person who is the subject of the protective order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requires OCA to</w:t>
            </w:r>
            <w:r w:rsidRPr="00AC088C">
              <w:t xml:space="preserve"> establish the registry</w:t>
            </w:r>
            <w:r>
              <w:t xml:space="preserve"> </w:t>
            </w:r>
            <w:r w:rsidRPr="00EE0F26">
              <w:t>not later than June 1, 2020</w:t>
            </w:r>
            <w:r>
              <w:t xml:space="preserve">, but authorizes OCA to delay </w:t>
            </w:r>
            <w:r w:rsidRPr="00EE0F26">
              <w:t xml:space="preserve">establishing </w:t>
            </w:r>
            <w:r>
              <w:t xml:space="preserve">the </w:t>
            </w:r>
            <w:r w:rsidRPr="00EE0F26">
              <w:t>registry for a period not to exceed 90 days if the delay is authorized by resolution of the Texas Judicial Council.</w:t>
            </w:r>
          </w:p>
          <w:p w:rsidR="006063B2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8423E4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C.S.H.B.</w:t>
            </w:r>
            <w:r>
              <w:t xml:space="preserve"> 629 </w:t>
            </w:r>
            <w:r>
              <w:t xml:space="preserve">requires the </w:t>
            </w:r>
            <w:r>
              <w:t xml:space="preserve">registry to </w:t>
            </w:r>
            <w:r w:rsidRPr="003171DF">
              <w:t xml:space="preserve">include a copy of each application </w:t>
            </w:r>
            <w:r>
              <w:t>for a</w:t>
            </w:r>
            <w:r>
              <w:t>n applicable</w:t>
            </w:r>
            <w:r>
              <w:t xml:space="preserve"> protective order filed </w:t>
            </w:r>
            <w:r>
              <w:t>or</w:t>
            </w:r>
            <w:r w:rsidRPr="003171DF">
              <w:t xml:space="preserve"> issued in </w:t>
            </w:r>
            <w:r>
              <w:t>Texas</w:t>
            </w:r>
            <w:r w:rsidRPr="003171DF">
              <w:t>, includ</w:t>
            </w:r>
            <w:r>
              <w:t xml:space="preserve">ing a vacated or expired order, and restricts access to </w:t>
            </w:r>
            <w:r>
              <w:t>th</w:t>
            </w:r>
            <w:r>
              <w:t>at information</w:t>
            </w:r>
            <w:r>
              <w:t xml:space="preserve"> to </w:t>
            </w:r>
            <w:r>
              <w:t xml:space="preserve">an </w:t>
            </w:r>
            <w:r w:rsidRPr="003171DF">
              <w:t>authorized user</w:t>
            </w:r>
            <w:r>
              <w:t>,</w:t>
            </w:r>
            <w:r>
              <w:t xml:space="preserve"> </w:t>
            </w:r>
            <w:r>
              <w:t xml:space="preserve">the attorney general, a </w:t>
            </w:r>
            <w:r>
              <w:t>district</w:t>
            </w:r>
            <w:r>
              <w:t xml:space="preserve"> attorney</w:t>
            </w:r>
            <w:r>
              <w:t xml:space="preserve">, </w:t>
            </w:r>
            <w:r>
              <w:t xml:space="preserve">a </w:t>
            </w:r>
            <w:r>
              <w:t>c</w:t>
            </w:r>
            <w:r>
              <w:t>riminal district</w:t>
            </w:r>
            <w:r>
              <w:t xml:space="preserve"> attorney</w:t>
            </w:r>
            <w:r>
              <w:t xml:space="preserve">, </w:t>
            </w:r>
            <w:r>
              <w:t xml:space="preserve">a </w:t>
            </w:r>
            <w:r w:rsidRPr="003171DF">
              <w:t>county</w:t>
            </w:r>
            <w:r>
              <w:t xml:space="preserve"> attorney</w:t>
            </w:r>
            <w:r w:rsidRPr="003171DF">
              <w:t xml:space="preserve">, </w:t>
            </w:r>
            <w:r>
              <w:t xml:space="preserve">a </w:t>
            </w:r>
            <w:r w:rsidRPr="003171DF">
              <w:t>municipal attorney</w:t>
            </w:r>
            <w:r>
              <w:t>,</w:t>
            </w:r>
            <w:r w:rsidRPr="003171DF">
              <w:t xml:space="preserve"> </w:t>
            </w:r>
            <w:r>
              <w:t>or</w:t>
            </w:r>
            <w:r w:rsidRPr="003171DF">
              <w:t xml:space="preserve"> </w:t>
            </w:r>
            <w:r>
              <w:t xml:space="preserve">a </w:t>
            </w:r>
            <w:r w:rsidRPr="003171DF">
              <w:t>peace officer</w:t>
            </w:r>
            <w:r>
              <w:t xml:space="preserve">. The bill requires OCA to </w:t>
            </w:r>
            <w:r>
              <w:t xml:space="preserve">ensure that </w:t>
            </w:r>
            <w:r>
              <w:t xml:space="preserve">such </w:t>
            </w:r>
            <w:r>
              <w:t>persons</w:t>
            </w:r>
            <w:r>
              <w:t xml:space="preserve"> are </w:t>
            </w:r>
            <w:r w:rsidRPr="00044D8F">
              <w:t xml:space="preserve">able to search for and receive a copy </w:t>
            </w:r>
            <w:r>
              <w:t xml:space="preserve">of </w:t>
            </w:r>
            <w:r>
              <w:t>a filed application for a protective order or a copy of an issued protect</w:t>
            </w:r>
            <w:r>
              <w:t xml:space="preserve">ive </w:t>
            </w:r>
            <w:r>
              <w:t>order</w:t>
            </w:r>
            <w:r w:rsidRPr="00044D8F">
              <w:t xml:space="preserve"> through the registry's website.</w:t>
            </w:r>
            <w:r>
              <w:t xml:space="preserve"> The bill defines "authorized user" as</w:t>
            </w:r>
            <w:r>
              <w:t xml:space="preserve"> </w:t>
            </w:r>
            <w:r w:rsidRPr="00393B57">
              <w:t xml:space="preserve">a person to whom </w:t>
            </w:r>
            <w:r>
              <w:t xml:space="preserve">OCA </w:t>
            </w:r>
            <w:r w:rsidRPr="00393B57">
              <w:t>has given permission and the means to submit</w:t>
            </w:r>
            <w:r>
              <w:t xml:space="preserve"> records to the registry or</w:t>
            </w:r>
            <w:r w:rsidRPr="00393B57">
              <w:t xml:space="preserve"> modify or remove records in the registry</w:t>
            </w:r>
            <w:r>
              <w:t xml:space="preserve"> and excludes </w:t>
            </w:r>
            <w:r>
              <w:t xml:space="preserve">from the term </w:t>
            </w:r>
            <w:r w:rsidRPr="00393B57">
              <w:t xml:space="preserve">members of the public who may only </w:t>
            </w:r>
            <w:r>
              <w:t>access</w:t>
            </w:r>
            <w:r w:rsidRPr="00393B57">
              <w:t xml:space="preserve"> through the registry's website </w:t>
            </w:r>
            <w:r>
              <w:t>certain</w:t>
            </w:r>
            <w:r>
              <w:t xml:space="preserve"> </w:t>
            </w:r>
            <w:r w:rsidRPr="00393B57">
              <w:t>information regarding protective orders</w:t>
            </w:r>
            <w:r>
              <w:t xml:space="preserve">. </w:t>
            </w:r>
          </w:p>
          <w:p w:rsidR="00044D8F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6E5218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C.S.H.B.</w:t>
            </w:r>
            <w:r>
              <w:t xml:space="preserve"> 629 requires</w:t>
            </w:r>
            <w:r>
              <w:t xml:space="preserve"> </w:t>
            </w:r>
            <w:r>
              <w:t xml:space="preserve">the clerk of </w:t>
            </w:r>
            <w:r>
              <w:t>a</w:t>
            </w:r>
            <w:r>
              <w:t xml:space="preserve"> </w:t>
            </w:r>
            <w:r>
              <w:t>court</w:t>
            </w:r>
            <w:r>
              <w:t>,</w:t>
            </w:r>
            <w:r>
              <w:t xml:space="preserve"> not later than </w:t>
            </w:r>
            <w:r>
              <w:t xml:space="preserve">24 </w:t>
            </w:r>
            <w:r>
              <w:t xml:space="preserve">hours </w:t>
            </w:r>
            <w:r>
              <w:t>after</w:t>
            </w:r>
            <w:r>
              <w:t xml:space="preserve"> an application for a protective order is filed, an origina</w:t>
            </w:r>
            <w:r>
              <w:t>l or modified protective order is issued, or the duration of a protective</w:t>
            </w:r>
            <w:r>
              <w:t xml:space="preserve"> order is extended</w:t>
            </w:r>
            <w:r>
              <w:t xml:space="preserve">, </w:t>
            </w:r>
            <w:r>
              <w:t>to enter</w:t>
            </w:r>
            <w:r>
              <w:t xml:space="preserve"> </w:t>
            </w:r>
            <w:r>
              <w:t>i</w:t>
            </w:r>
            <w:r>
              <w:t>nto the registry</w:t>
            </w:r>
            <w:r>
              <w:t xml:space="preserve">, as applicable, </w:t>
            </w:r>
            <w:r>
              <w:t>a copy of the application, a copy of the order,</w:t>
            </w:r>
            <w:r>
              <w:t xml:space="preserve"> </w:t>
            </w:r>
            <w:r>
              <w:t xml:space="preserve">and, if applicable, </w:t>
            </w:r>
            <w:r>
              <w:t>a notation regarding any modification or extension o</w:t>
            </w:r>
            <w:r>
              <w:t>f the order</w:t>
            </w:r>
            <w:r>
              <w:t xml:space="preserve"> </w:t>
            </w:r>
            <w:r>
              <w:t xml:space="preserve">and </w:t>
            </w:r>
            <w:r>
              <w:t xml:space="preserve">the </w:t>
            </w:r>
            <w:r>
              <w:t xml:space="preserve">information </w:t>
            </w:r>
            <w:r>
              <w:t xml:space="preserve">prescribed by the bill </w:t>
            </w:r>
            <w:r>
              <w:t xml:space="preserve">that must be </w:t>
            </w:r>
            <w:r>
              <w:t>publicly accessible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>, with respect to such entr</w:t>
            </w:r>
            <w:r>
              <w:t>ies</w:t>
            </w:r>
            <w:r>
              <w:t xml:space="preserve"> in the registry:</w:t>
            </w:r>
          </w:p>
          <w:p w:rsidR="00AD6095" w:rsidRDefault="002B7A1D" w:rsidP="00BB509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requires OCA to ensure </w:t>
            </w:r>
            <w:r w:rsidRPr="0050160E">
              <w:t xml:space="preserve">that a member of the public is not able to </w:t>
            </w:r>
            <w:r>
              <w:t>access</w:t>
            </w:r>
            <w:r w:rsidRPr="0050160E">
              <w:t xml:space="preserve"> </w:t>
            </w:r>
            <w:r>
              <w:t>an</w:t>
            </w:r>
            <w:r w:rsidRPr="00A66A0D">
              <w:t xml:space="preserve"> </w:t>
            </w:r>
            <w:r w:rsidRPr="00553278">
              <w:t xml:space="preserve">application for a protective order </w:t>
            </w:r>
            <w:r>
              <w:t xml:space="preserve">filed with a court </w:t>
            </w:r>
            <w:r w:rsidRPr="00A66A0D">
              <w:t xml:space="preserve">or any information related </w:t>
            </w:r>
            <w:r>
              <w:t xml:space="preserve">to </w:t>
            </w:r>
            <w:r>
              <w:t>such an</w:t>
            </w:r>
            <w:r w:rsidRPr="00A66A0D">
              <w:t xml:space="preserve"> application</w:t>
            </w:r>
            <w:r>
              <w:t xml:space="preserve"> </w:t>
            </w:r>
            <w:r w:rsidRPr="0050160E">
              <w:t>through the registry's website</w:t>
            </w:r>
            <w:r>
              <w:t>;</w:t>
            </w:r>
          </w:p>
          <w:p w:rsidR="00AD6095" w:rsidRDefault="002B7A1D" w:rsidP="00BB509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authorizes </w:t>
            </w:r>
            <w:r>
              <w:t>the clerk</w:t>
            </w:r>
            <w:r>
              <w:t xml:space="preserve"> to delay entering</w:t>
            </w:r>
            <w:r>
              <w:t xml:space="preserve"> applicable</w:t>
            </w:r>
            <w:r>
              <w:t xml:space="preserve"> information into the registry only to the extent that </w:t>
            </w:r>
            <w:r w:rsidRPr="00811C66">
              <w:t xml:space="preserve">the </w:t>
            </w:r>
            <w:r>
              <w:t>clerk</w:t>
            </w:r>
            <w:r w:rsidRPr="00811C66">
              <w:t xml:space="preserve"> </w:t>
            </w:r>
            <w:r w:rsidRPr="00811C66">
              <w:t xml:space="preserve">lacks the specific </w:t>
            </w:r>
            <w:r>
              <w:t xml:space="preserve">required </w:t>
            </w:r>
            <w:r w:rsidRPr="00811C66">
              <w:t>information</w:t>
            </w:r>
            <w:r>
              <w:t xml:space="preserve">; </w:t>
            </w:r>
            <w:r>
              <w:t>and</w:t>
            </w:r>
          </w:p>
          <w:p w:rsidR="0050160E" w:rsidRDefault="002B7A1D" w:rsidP="00BB5097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requires the </w:t>
            </w:r>
            <w:r>
              <w:t>clerk</w:t>
            </w:r>
            <w:r>
              <w:t xml:space="preserve">, </w:t>
            </w:r>
            <w:r w:rsidRPr="0050160E">
              <w:t>for a protective order that is vacated or that has been expired</w:t>
            </w:r>
            <w:r>
              <w:t xml:space="preserve">, to modify the record of the order in the registry to reflect the order's status. </w:t>
            </w:r>
          </w:p>
          <w:p w:rsidR="00F62F89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615F64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 w:rsidRPr="00A37F2B">
              <w:t>C.S.H.B.</w:t>
            </w:r>
            <w:r w:rsidRPr="00A37F2B">
              <w:t xml:space="preserve"> 629</w:t>
            </w:r>
            <w:r w:rsidRPr="00A37F2B">
              <w:t xml:space="preserve"> </w:t>
            </w:r>
            <w:r w:rsidRPr="00A37F2B">
              <w:t xml:space="preserve">requires </w:t>
            </w:r>
            <w:r w:rsidRPr="00A37F2B">
              <w:t>OCA</w:t>
            </w:r>
            <w:r w:rsidRPr="00A37F2B">
              <w:t xml:space="preserve"> to ensure that the public</w:t>
            </w:r>
            <w:r>
              <w:t xml:space="preserve"> may access information </w:t>
            </w:r>
            <w:r>
              <w:t>through t</w:t>
            </w:r>
            <w:r>
              <w:t xml:space="preserve">he registry </w:t>
            </w:r>
            <w:r>
              <w:t xml:space="preserve">about protective orders, other than information about </w:t>
            </w:r>
            <w:r w:rsidRPr="001B41F1">
              <w:t>a</w:t>
            </w:r>
            <w:r>
              <w:t>n applicable</w:t>
            </w:r>
            <w:r>
              <w:t xml:space="preserve"> </w:t>
            </w:r>
            <w:r w:rsidRPr="001B41F1">
              <w:t>magistrate's order for emergency protection or a</w:t>
            </w:r>
            <w:r>
              <w:t>n applicable</w:t>
            </w:r>
            <w:r>
              <w:t xml:space="preserve"> </w:t>
            </w:r>
            <w:r w:rsidRPr="001B41F1">
              <w:t>temporary ex parte protective order</w:t>
            </w:r>
            <w:r>
              <w:t xml:space="preserve"> </w:t>
            </w:r>
            <w:r>
              <w:t xml:space="preserve">only </w:t>
            </w:r>
            <w:r>
              <w:t xml:space="preserve">if a protected person </w:t>
            </w:r>
            <w:r>
              <w:t xml:space="preserve">requests </w:t>
            </w:r>
            <w:r>
              <w:t xml:space="preserve">that </w:t>
            </w:r>
            <w:r>
              <w:t>OCA</w:t>
            </w:r>
            <w:r>
              <w:t xml:space="preserve"> grant the public the ability to access the information </w:t>
            </w:r>
            <w:r>
              <w:t>d</w:t>
            </w:r>
            <w:r w:rsidRPr="001B41F1">
              <w:t>escribed by the bill</w:t>
            </w:r>
            <w:r>
              <w:t xml:space="preserve"> for the order protecting the person</w:t>
            </w:r>
            <w:r>
              <w:t xml:space="preserve"> and OCA approves the request</w:t>
            </w:r>
            <w:r>
              <w:t xml:space="preserve">. The bill authorizes a person whose request was approved to request that OCA </w:t>
            </w:r>
            <w:r w:rsidRPr="007E3473">
              <w:t xml:space="preserve">remove the ability of the public to </w:t>
            </w:r>
            <w:r w:rsidRPr="007E3473">
              <w:t>access the information that was the subject of the person's earlier approved request</w:t>
            </w:r>
            <w:r>
              <w:t xml:space="preserve"> and</w:t>
            </w:r>
            <w:r>
              <w:t xml:space="preserve"> requires OCA, not later than the third business day after </w:t>
            </w:r>
            <w:r>
              <w:t>receiving such</w:t>
            </w:r>
            <w:r>
              <w:t xml:space="preserve"> a request, to remove the ability of the public to access the information.</w:t>
            </w:r>
            <w:r>
              <w:t xml:space="preserve"> The bill requires th</w:t>
            </w:r>
            <w:r>
              <w:t xml:space="preserve">e Supreme Court </w:t>
            </w:r>
            <w:r>
              <w:t xml:space="preserve">of Texas </w:t>
            </w:r>
            <w:r>
              <w:t xml:space="preserve">to prescribe a form for use by a person requesting a grant or removal of such public access and authorizes the </w:t>
            </w:r>
            <w:r>
              <w:t>s</w:t>
            </w:r>
            <w:r>
              <w:t xml:space="preserve">upreme </w:t>
            </w:r>
            <w:r>
              <w:t>c</w:t>
            </w:r>
            <w:r>
              <w:t xml:space="preserve">ourt </w:t>
            </w:r>
            <w:r>
              <w:t xml:space="preserve">to prescribe by rule procedures for requesting </w:t>
            </w:r>
            <w:r w:rsidRPr="007F503F">
              <w:t xml:space="preserve">such </w:t>
            </w:r>
            <w:r>
              <w:t>a grant or removal.</w:t>
            </w:r>
          </w:p>
          <w:p w:rsidR="00F62F89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7C72F6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C.S.H.B.</w:t>
            </w:r>
            <w:r>
              <w:t xml:space="preserve"> 629 </w:t>
            </w:r>
            <w:r>
              <w:t>requires OCA, n</w:t>
            </w:r>
            <w:r w:rsidRPr="00EE0F26">
              <w:t>ot la</w:t>
            </w:r>
            <w:r w:rsidRPr="00EE0F26">
              <w:t xml:space="preserve">ter than June 1, 2020, </w:t>
            </w:r>
            <w:r>
              <w:t xml:space="preserve">to </w:t>
            </w:r>
            <w:r w:rsidRPr="00EE0F26">
              <w:t xml:space="preserve">establish and supervise a training program for magistrates, court </w:t>
            </w:r>
            <w:r>
              <w:t>personnel</w:t>
            </w:r>
            <w:r w:rsidRPr="00EE0F26">
              <w:t>, and peace officers on the use of the registry. The training program must make all materials for use in the training program available to magistrates, cou</w:t>
            </w:r>
            <w:r w:rsidRPr="00EE0F26">
              <w:t xml:space="preserve">rt </w:t>
            </w:r>
            <w:r w:rsidRPr="00351AE2">
              <w:t>personnel</w:t>
            </w:r>
            <w:r w:rsidRPr="00EE0F26">
              <w:t>, and peace officers.</w:t>
            </w:r>
            <w:r>
              <w:t xml:space="preserve"> </w:t>
            </w:r>
          </w:p>
          <w:p w:rsidR="007C72F6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7C72F6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C.S.H.B. 629 </w:t>
            </w:r>
            <w:r>
              <w:t xml:space="preserve">prohibits OCA from allowing </w:t>
            </w:r>
            <w:r w:rsidRPr="00EE0F26">
              <w:t xml:space="preserve">a member of the public to view </w:t>
            </w:r>
            <w:r>
              <w:t xml:space="preserve">the </w:t>
            </w:r>
            <w:r w:rsidRPr="00EE0F26">
              <w:t>publicly accessible information</w:t>
            </w:r>
            <w:r>
              <w:t xml:space="preserve"> in the registry </w:t>
            </w:r>
            <w:r w:rsidRPr="00EE0F26">
              <w:t xml:space="preserve">through the </w:t>
            </w:r>
            <w:r>
              <w:t>registry website</w:t>
            </w:r>
            <w:r w:rsidRPr="00EE0F26">
              <w:t xml:space="preserve"> before September 1, 2020</w:t>
            </w:r>
            <w:r>
              <w:t>.</w:t>
            </w:r>
            <w:r>
              <w:t xml:space="preserve"> </w:t>
            </w:r>
          </w:p>
          <w:p w:rsidR="007C72F6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8423E4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C.S.H.B. 629</w:t>
            </w:r>
            <w:r>
              <w:t xml:space="preserve"> </w:t>
            </w:r>
            <w:r>
              <w:t xml:space="preserve">applies </w:t>
            </w:r>
            <w:r>
              <w:t xml:space="preserve">to an application </w:t>
            </w:r>
            <w:r>
              <w:t>for a</w:t>
            </w:r>
            <w:r>
              <w:t>n applicable</w:t>
            </w:r>
            <w:r>
              <w:t xml:space="preserve"> protective order filed or a</w:t>
            </w:r>
            <w:r>
              <w:t>n applicable</w:t>
            </w:r>
            <w:r>
              <w:t xml:space="preserve"> protective order issue</w:t>
            </w:r>
            <w:r>
              <w:t>d</w:t>
            </w:r>
            <w:r>
              <w:t xml:space="preserve"> on or after September 1, 2020. </w:t>
            </w:r>
          </w:p>
          <w:p w:rsidR="00E36ACE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E36ACE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 w:rsidRPr="00E36ACE">
              <w:t>C.S.H.B. 629</w:t>
            </w:r>
            <w:r>
              <w:t xml:space="preserve"> </w:t>
            </w:r>
            <w:r>
              <w:t xml:space="preserve">makes the requirement for </w:t>
            </w:r>
            <w:r>
              <w:t xml:space="preserve">OCA to implement </w:t>
            </w:r>
            <w:r>
              <w:t>the bill'</w:t>
            </w:r>
            <w:r>
              <w:t>s provisions</w:t>
            </w:r>
            <w:r>
              <w:t xml:space="preserve"> </w:t>
            </w:r>
            <w:r>
              <w:t xml:space="preserve">contingent on </w:t>
            </w:r>
            <w:r>
              <w:t xml:space="preserve"> </w:t>
            </w:r>
            <w:r>
              <w:t xml:space="preserve">specific legislative </w:t>
            </w:r>
            <w:r>
              <w:t>appropriat</w:t>
            </w:r>
            <w:r>
              <w:t>ion</w:t>
            </w:r>
            <w:r>
              <w:t xml:space="preserve"> but</w:t>
            </w:r>
            <w:r>
              <w:t xml:space="preserve"> establishes that if the legislature does not </w:t>
            </w:r>
            <w:r>
              <w:t xml:space="preserve">make specific </w:t>
            </w:r>
            <w:r>
              <w:t>appropriat</w:t>
            </w:r>
            <w:r>
              <w:t>ions</w:t>
            </w:r>
            <w:r>
              <w:t xml:space="preserve"> OCA may, but is not required to, implement </w:t>
            </w:r>
            <w:r>
              <w:t xml:space="preserve">the bill's </w:t>
            </w:r>
            <w:r>
              <w:t>provision</w:t>
            </w:r>
            <w:r>
              <w:t>s</w:t>
            </w:r>
            <w:r>
              <w:t xml:space="preserve"> using other appropriations available for th</w:t>
            </w:r>
            <w:r>
              <w:t>ose</w:t>
            </w:r>
            <w:r>
              <w:t xml:space="preserve"> purpose</w:t>
            </w:r>
            <w:r>
              <w:t>s</w:t>
            </w:r>
            <w:r>
              <w:t>.</w:t>
            </w:r>
          </w:p>
          <w:p w:rsidR="000D2A68" w:rsidRPr="00835628" w:rsidRDefault="002B7A1D" w:rsidP="00BB5097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b/>
              </w:rPr>
            </w:pPr>
          </w:p>
        </w:tc>
      </w:tr>
      <w:tr w:rsidR="0031752A" w:rsidTr="00345119">
        <w:tc>
          <w:tcPr>
            <w:tcW w:w="9576" w:type="dxa"/>
          </w:tcPr>
          <w:p w:rsidR="008423E4" w:rsidRPr="00A8133F" w:rsidRDefault="002B7A1D" w:rsidP="00BB50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7A1D" w:rsidP="00BB5097"/>
          <w:p w:rsidR="008423E4" w:rsidRPr="003624F2" w:rsidRDefault="002B7A1D" w:rsidP="00BB50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B7A1D" w:rsidP="00BB5097">
            <w:pPr>
              <w:rPr>
                <w:b/>
              </w:rPr>
            </w:pPr>
          </w:p>
        </w:tc>
      </w:tr>
      <w:tr w:rsidR="0031752A" w:rsidTr="00345119">
        <w:tc>
          <w:tcPr>
            <w:tcW w:w="9576" w:type="dxa"/>
          </w:tcPr>
          <w:p w:rsidR="00334328" w:rsidRDefault="002B7A1D" w:rsidP="00BB50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915699" w:rsidRDefault="002B7A1D" w:rsidP="00BB5097">
            <w:pPr>
              <w:jc w:val="both"/>
            </w:pPr>
          </w:p>
          <w:p w:rsidR="00915699" w:rsidRDefault="002B7A1D" w:rsidP="00BB5097">
            <w:pPr>
              <w:jc w:val="both"/>
            </w:pPr>
            <w:r>
              <w:t>While C.S.H.B. 629 may differ from the original in minor or nonsubstantive ways, the following summarizes the substantial differences between the introduced and committee substitute versions of the bill.</w:t>
            </w:r>
          </w:p>
          <w:p w:rsidR="001818B5" w:rsidRDefault="002B7A1D" w:rsidP="00BB5097">
            <w:pPr>
              <w:jc w:val="both"/>
            </w:pPr>
          </w:p>
          <w:p w:rsidR="007F5E64" w:rsidRDefault="002B7A1D" w:rsidP="00BB5097">
            <w:pPr>
              <w:jc w:val="both"/>
            </w:pPr>
            <w:r>
              <w:t>The substitute changes the</w:t>
            </w:r>
            <w:r>
              <w:t xml:space="preserve"> applicability of </w:t>
            </w:r>
            <w:r>
              <w:t xml:space="preserve">the bill's </w:t>
            </w:r>
            <w:r>
              <w:t>provisions</w:t>
            </w:r>
            <w:r>
              <w:t>, with respect to the registry,</w:t>
            </w:r>
            <w:r>
              <w:t xml:space="preserve"> </w:t>
            </w:r>
            <w:r>
              <w:t>by</w:t>
            </w:r>
            <w:r>
              <w:t>:</w:t>
            </w:r>
          </w:p>
          <w:p w:rsidR="007F5E64" w:rsidRDefault="002B7A1D" w:rsidP="00BB509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specifying that the applicable protective orders are </w:t>
            </w:r>
            <w:r>
              <w:t xml:space="preserve">orders </w:t>
            </w:r>
            <w:r>
              <w:t xml:space="preserve">to prevent family violence; </w:t>
            </w:r>
          </w:p>
          <w:p w:rsidR="007F5E64" w:rsidRDefault="002B7A1D" w:rsidP="00BB509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specifying that the applicable magistrate's order for emergency protection is an order with </w:t>
            </w:r>
            <w:r>
              <w:t>respect to a person who is arrested for an offense involving family violence; and</w:t>
            </w:r>
          </w:p>
          <w:p w:rsidR="00AD4A52" w:rsidRDefault="002B7A1D" w:rsidP="00BB509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not includ</w:t>
            </w:r>
            <w:r>
              <w:t>ing</w:t>
            </w:r>
            <w:r>
              <w:t xml:space="preserve"> the provision making the bill's provisions applicable to injunctions or orders </w:t>
            </w:r>
            <w:r>
              <w:t xml:space="preserve">to prevent an individual from engaging in violent or threatening acts against, </w:t>
            </w:r>
            <w:r>
              <w:t>harassing, contacting or communicating with</w:t>
            </w:r>
            <w:r>
              <w:t>,</w:t>
            </w:r>
            <w:r>
              <w:t xml:space="preserve"> or being in physical proximity to another individual</w:t>
            </w:r>
            <w:r>
              <w:t>.</w:t>
            </w:r>
          </w:p>
          <w:p w:rsidR="00AD4A52" w:rsidRDefault="002B7A1D" w:rsidP="00BB5097">
            <w:pPr>
              <w:jc w:val="both"/>
            </w:pPr>
          </w:p>
          <w:p w:rsidR="00B50B51" w:rsidRDefault="002B7A1D" w:rsidP="00BB5097">
            <w:pPr>
              <w:jc w:val="both"/>
            </w:pPr>
            <w:r>
              <w:t>The substitute</w:t>
            </w:r>
            <w:r>
              <w:t xml:space="preserve"> </w:t>
            </w:r>
            <w:r>
              <w:t>changes</w:t>
            </w:r>
            <w:r>
              <w:t xml:space="preserve"> the bill's provisions </w:t>
            </w:r>
            <w:r>
              <w:t xml:space="preserve">authorizing </w:t>
            </w:r>
            <w:r>
              <w:t xml:space="preserve">the </w:t>
            </w:r>
            <w:r>
              <w:t>removal</w:t>
            </w:r>
            <w:r>
              <w:t>, on request of an applicable person,</w:t>
            </w:r>
            <w:r>
              <w:t xml:space="preserve"> of </w:t>
            </w:r>
            <w:r>
              <w:t xml:space="preserve">the ability of a member of the public to view </w:t>
            </w:r>
            <w:r>
              <w:t>i</w:t>
            </w:r>
            <w:r>
              <w:t xml:space="preserve">nformation </w:t>
            </w:r>
            <w:r>
              <w:t xml:space="preserve">regarding applicable protective orders </w:t>
            </w:r>
            <w:r>
              <w:t xml:space="preserve">and requiring OCA to ensure such </w:t>
            </w:r>
            <w:r>
              <w:t xml:space="preserve">requested </w:t>
            </w:r>
            <w:r>
              <w:t>removal</w:t>
            </w:r>
            <w:r>
              <w:t xml:space="preserve"> </w:t>
            </w:r>
            <w:r>
              <w:t>by including</w:t>
            </w:r>
            <w:r>
              <w:t xml:space="preserve"> </w:t>
            </w:r>
            <w:r>
              <w:t>the following</w:t>
            </w:r>
            <w:r>
              <w:t xml:space="preserve"> provisions</w:t>
            </w:r>
            <w:r>
              <w:t>:</w:t>
            </w:r>
          </w:p>
          <w:p w:rsidR="00027C44" w:rsidRDefault="002B7A1D" w:rsidP="00BB509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 provision explicitly prohibiting a member of the public from accessing through the registry any information relate</w:t>
            </w:r>
            <w:r>
              <w:t>d to an applicable magistrate's order for emergency protection with respect to a person who is arrested for an offense involving family violence or a temporary ex parte order issued under the Family Code;</w:t>
            </w:r>
          </w:p>
          <w:p w:rsidR="008B5C42" w:rsidRDefault="002B7A1D" w:rsidP="00BB509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 provision </w:t>
            </w:r>
            <w:r>
              <w:t>requiring</w:t>
            </w:r>
            <w:r>
              <w:t xml:space="preserve"> </w:t>
            </w:r>
            <w:r>
              <w:t xml:space="preserve">OCA to ensure </w:t>
            </w:r>
            <w:r>
              <w:t xml:space="preserve">public access </w:t>
            </w:r>
            <w:r>
              <w:t>o</w:t>
            </w:r>
            <w:r>
              <w:t xml:space="preserve">nly </w:t>
            </w:r>
            <w:r>
              <w:t xml:space="preserve">if </w:t>
            </w:r>
            <w:r>
              <w:t>access is requested by a protected person and if OCA approves that request</w:t>
            </w:r>
            <w:r>
              <w:t>;</w:t>
            </w:r>
            <w:r>
              <w:t xml:space="preserve"> </w:t>
            </w:r>
          </w:p>
          <w:p w:rsidR="002B674F" w:rsidRDefault="002B7A1D" w:rsidP="00BB509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provisions authorizing a person whose request was so approved to subsequently request removal of public access to such information, requiring OCA to do so after receiving a</w:t>
            </w:r>
            <w:r>
              <w:t xml:space="preserve"> request, and setting a deadline for the removal of public access that is so requested; </w:t>
            </w:r>
            <w:r>
              <w:t>and</w:t>
            </w:r>
          </w:p>
          <w:p w:rsidR="00176E9C" w:rsidRDefault="002B7A1D" w:rsidP="00BB509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 provision authorizing the supreme court to prescribe by rule </w:t>
            </w:r>
            <w:r>
              <w:t xml:space="preserve">the </w:t>
            </w:r>
            <w:r>
              <w:t>procedures for requesting a grant or removal of such access</w:t>
            </w:r>
            <w:r>
              <w:t>.</w:t>
            </w:r>
          </w:p>
          <w:p w:rsidR="00EF2A40" w:rsidRDefault="002B7A1D" w:rsidP="00BB5097">
            <w:pPr>
              <w:jc w:val="both"/>
              <w:rPr>
                <w:highlight w:val="yellow"/>
              </w:rPr>
            </w:pPr>
          </w:p>
          <w:p w:rsidR="00F878AE" w:rsidRDefault="002B7A1D" w:rsidP="00BB5097">
            <w:pPr>
              <w:jc w:val="both"/>
            </w:pPr>
            <w:r w:rsidRPr="00622A71">
              <w:t xml:space="preserve">The </w:t>
            </w:r>
            <w:r>
              <w:t>substitute</w:t>
            </w:r>
            <w:r w:rsidRPr="00622A71">
              <w:t xml:space="preserve"> </w:t>
            </w:r>
            <w:r w:rsidRPr="00EF2A40">
              <w:t>replaces the authori</w:t>
            </w:r>
            <w:r w:rsidRPr="00EF2A40">
              <w:t xml:space="preserve">zation for OCA to prescribe a form for use by a person for requesting removal of public access with a requirement for the </w:t>
            </w:r>
            <w:r w:rsidRPr="00EF2A40">
              <w:t xml:space="preserve">supreme court </w:t>
            </w:r>
            <w:r w:rsidRPr="00EF2A40">
              <w:t xml:space="preserve">to prescribe a form for </w:t>
            </w:r>
            <w:r w:rsidRPr="00EF2A40">
              <w:t>granting or requesting removal of public access</w:t>
            </w:r>
            <w:r w:rsidRPr="00EF2A40">
              <w:t>.</w:t>
            </w:r>
          </w:p>
          <w:p w:rsidR="00AD4A52" w:rsidRDefault="002B7A1D" w:rsidP="00BB5097">
            <w:pPr>
              <w:jc w:val="both"/>
            </w:pPr>
          </w:p>
          <w:p w:rsidR="001818B5" w:rsidRDefault="002B7A1D" w:rsidP="00BB5097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includes the attorney</w:t>
            </w:r>
            <w:r>
              <w:t xml:space="preserve"> general among the </w:t>
            </w:r>
            <w:r>
              <w:t xml:space="preserve">persons </w:t>
            </w:r>
            <w:r>
              <w:t>authorized to access cop</w:t>
            </w:r>
            <w:r>
              <w:t>ies</w:t>
            </w:r>
            <w:r>
              <w:t xml:space="preserve"> of applications for protective orders and protective orders </w:t>
            </w:r>
            <w:r>
              <w:t xml:space="preserve">in </w:t>
            </w:r>
            <w:r>
              <w:t>the registry</w:t>
            </w:r>
            <w:r>
              <w:t xml:space="preserve"> and includes </w:t>
            </w:r>
            <w:r>
              <w:t xml:space="preserve">the attorney general and </w:t>
            </w:r>
            <w:r>
              <w:t>an authorized user among the persons for whom OCA must ensure the ability to search for</w:t>
            </w:r>
            <w:r>
              <w:t xml:space="preserve"> and receive a copy of a filed application for a protective order or a copy of an issued protective order through the registry's website.</w:t>
            </w:r>
          </w:p>
          <w:p w:rsidR="001818B5" w:rsidRDefault="002B7A1D" w:rsidP="00BB5097">
            <w:pPr>
              <w:jc w:val="both"/>
            </w:pPr>
          </w:p>
          <w:p w:rsidR="00915699" w:rsidRDefault="002B7A1D" w:rsidP="00BB5097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</w:t>
            </w:r>
            <w:r>
              <w:t>includes a specification</w:t>
            </w:r>
            <w:r>
              <w:t xml:space="preserve"> that the clerk of a court is required to enter and modify information and rec</w:t>
            </w:r>
            <w:r>
              <w:t>ords in the registry</w:t>
            </w:r>
            <w:r>
              <w:t xml:space="preserve"> and extends the deadline</w:t>
            </w:r>
            <w:r>
              <w:t>s by which such actions must be completed</w:t>
            </w:r>
            <w:r>
              <w:t xml:space="preserve">. </w:t>
            </w:r>
            <w:r>
              <w:t xml:space="preserve"> </w:t>
            </w:r>
          </w:p>
          <w:p w:rsidR="007D400A" w:rsidRDefault="002B7A1D" w:rsidP="00BB5097">
            <w:pPr>
              <w:jc w:val="both"/>
            </w:pPr>
          </w:p>
          <w:p w:rsidR="006F5607" w:rsidRDefault="002B7A1D" w:rsidP="00BB5097">
            <w:pPr>
              <w:jc w:val="both"/>
            </w:pPr>
            <w:r>
              <w:t>The substitute does not include a provision authorizing a court to use any available staff and resources to carry out the court's duties under the bill's provisions.</w:t>
            </w:r>
            <w:r>
              <w:t xml:space="preserve"> </w:t>
            </w:r>
          </w:p>
          <w:p w:rsidR="006F5607" w:rsidRDefault="002B7A1D" w:rsidP="00BB5097">
            <w:pPr>
              <w:jc w:val="both"/>
            </w:pPr>
          </w:p>
          <w:p w:rsidR="001441FF" w:rsidRDefault="002B7A1D" w:rsidP="00BB5097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provision </w:t>
            </w:r>
            <w:r>
              <w:t xml:space="preserve">conditioning </w:t>
            </w:r>
            <w:r>
              <w:t xml:space="preserve">a requirement to </w:t>
            </w:r>
            <w:r>
              <w:t xml:space="preserve">implement </w:t>
            </w:r>
            <w:r>
              <w:t xml:space="preserve">a </w:t>
            </w:r>
            <w:r>
              <w:t xml:space="preserve">bill provision on </w:t>
            </w:r>
            <w:r>
              <w:t xml:space="preserve">a </w:t>
            </w:r>
            <w:r>
              <w:t xml:space="preserve">specific legislative appropriation </w:t>
            </w:r>
            <w:r>
              <w:t xml:space="preserve">for that purpose </w:t>
            </w:r>
            <w:r>
              <w:t>and</w:t>
            </w:r>
            <w:r>
              <w:t xml:space="preserve"> includes a provision </w:t>
            </w:r>
            <w:r>
              <w:t>establishing that OCA may, but is not required to, use other available appropr</w:t>
            </w:r>
            <w:r>
              <w:t xml:space="preserve">iations for </w:t>
            </w:r>
            <w:r>
              <w:t xml:space="preserve">such </w:t>
            </w:r>
            <w:r>
              <w:t>implement</w:t>
            </w:r>
            <w:r>
              <w:t>ation</w:t>
            </w:r>
            <w:r>
              <w:t xml:space="preserve">.  </w:t>
            </w:r>
          </w:p>
          <w:p w:rsidR="00915699" w:rsidRPr="00915699" w:rsidRDefault="002B7A1D" w:rsidP="00BB5097">
            <w:pPr>
              <w:jc w:val="both"/>
            </w:pPr>
          </w:p>
        </w:tc>
      </w:tr>
      <w:tr w:rsidR="0031752A" w:rsidTr="00345119">
        <w:tc>
          <w:tcPr>
            <w:tcW w:w="9576" w:type="dxa"/>
          </w:tcPr>
          <w:p w:rsidR="00334328" w:rsidRPr="009C1E9A" w:rsidRDefault="002B7A1D" w:rsidP="00BB5097">
            <w:pPr>
              <w:rPr>
                <w:b/>
                <w:u w:val="single"/>
              </w:rPr>
            </w:pPr>
          </w:p>
        </w:tc>
      </w:tr>
      <w:tr w:rsidR="0031752A" w:rsidTr="00345119">
        <w:tc>
          <w:tcPr>
            <w:tcW w:w="9576" w:type="dxa"/>
          </w:tcPr>
          <w:p w:rsidR="00334328" w:rsidRPr="00334328" w:rsidRDefault="002B7A1D" w:rsidP="00BB5097">
            <w:pPr>
              <w:jc w:val="both"/>
            </w:pPr>
          </w:p>
        </w:tc>
      </w:tr>
    </w:tbl>
    <w:p w:rsidR="008423E4" w:rsidRPr="00BE0E75" w:rsidRDefault="002B7A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7A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7A1D">
      <w:r>
        <w:separator/>
      </w:r>
    </w:p>
  </w:endnote>
  <w:endnote w:type="continuationSeparator" w:id="0">
    <w:p w:rsidR="00000000" w:rsidRDefault="002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7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752A" w:rsidTr="009C1E9A">
      <w:trPr>
        <w:cantSplit/>
      </w:trPr>
      <w:tc>
        <w:tcPr>
          <w:tcW w:w="0" w:type="pct"/>
        </w:tcPr>
        <w:p w:rsidR="00137D90" w:rsidRDefault="002B7A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7A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7A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7A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7A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752A" w:rsidTr="009C1E9A">
      <w:trPr>
        <w:cantSplit/>
      </w:trPr>
      <w:tc>
        <w:tcPr>
          <w:tcW w:w="0" w:type="pct"/>
        </w:tcPr>
        <w:p w:rsidR="00EC379B" w:rsidRDefault="002B7A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7A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24036</w:t>
          </w:r>
        </w:p>
      </w:tc>
      <w:tc>
        <w:tcPr>
          <w:tcW w:w="2453" w:type="pct"/>
        </w:tcPr>
        <w:p w:rsidR="00EC379B" w:rsidRDefault="002B7A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19.93.561</w:t>
          </w:r>
          <w:r>
            <w:fldChar w:fldCharType="end"/>
          </w:r>
        </w:p>
      </w:tc>
    </w:tr>
    <w:tr w:rsidR="0031752A" w:rsidTr="009C1E9A">
      <w:trPr>
        <w:cantSplit/>
      </w:trPr>
      <w:tc>
        <w:tcPr>
          <w:tcW w:w="0" w:type="pct"/>
        </w:tcPr>
        <w:p w:rsidR="00EC379B" w:rsidRDefault="002B7A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7A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19696</w:t>
          </w:r>
        </w:p>
      </w:tc>
      <w:tc>
        <w:tcPr>
          <w:tcW w:w="2453" w:type="pct"/>
        </w:tcPr>
        <w:p w:rsidR="00EC379B" w:rsidRDefault="002B7A1D" w:rsidP="006D504F">
          <w:pPr>
            <w:pStyle w:val="Footer"/>
            <w:rPr>
              <w:rStyle w:val="PageNumber"/>
            </w:rPr>
          </w:pPr>
        </w:p>
        <w:p w:rsidR="00EC379B" w:rsidRDefault="002B7A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75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7A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B7A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7A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7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7A1D">
      <w:r>
        <w:separator/>
      </w:r>
    </w:p>
  </w:footnote>
  <w:footnote w:type="continuationSeparator" w:id="0">
    <w:p w:rsidR="00000000" w:rsidRDefault="002B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7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7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7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27A"/>
    <w:multiLevelType w:val="hybridMultilevel"/>
    <w:tmpl w:val="3F2AB2B2"/>
    <w:lvl w:ilvl="0" w:tplc="EB1E6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B9AA0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A651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146C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42C6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265A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8C89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3ECC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5E2B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37F0D"/>
    <w:multiLevelType w:val="hybridMultilevel"/>
    <w:tmpl w:val="72549354"/>
    <w:lvl w:ilvl="0" w:tplc="197AD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8C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22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01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3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49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E2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86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C0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5BBB"/>
    <w:multiLevelType w:val="hybridMultilevel"/>
    <w:tmpl w:val="3B12A440"/>
    <w:lvl w:ilvl="0" w:tplc="F44EE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64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67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CB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C8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C0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88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CB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7F6E"/>
    <w:multiLevelType w:val="hybridMultilevel"/>
    <w:tmpl w:val="CDAE0698"/>
    <w:lvl w:ilvl="0" w:tplc="2CAAE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0C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6A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A0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1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8A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9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0E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E5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555"/>
    <w:multiLevelType w:val="hybridMultilevel"/>
    <w:tmpl w:val="CF66F8DC"/>
    <w:lvl w:ilvl="0" w:tplc="768AF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A6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6E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C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3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6B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C5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63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69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A"/>
    <w:rsid w:val="002B7A1D"/>
    <w:rsid w:val="003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1970B-A27C-4A80-9118-7281D08C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07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0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07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0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07F2"/>
    <w:rPr>
      <w:b/>
      <w:bCs/>
    </w:rPr>
  </w:style>
  <w:style w:type="character" w:styleId="Hyperlink">
    <w:name w:val="Hyperlink"/>
    <w:basedOn w:val="DefaultParagraphFont"/>
    <w:unhideWhenUsed/>
    <w:rsid w:val="00DD66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26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263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D30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8863</Characters>
  <Application>Microsoft Office Word</Application>
  <DocSecurity>4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HB00629 (Committee Report (Substituted))</vt:lpstr>
    </vt:vector>
  </TitlesOfParts>
  <Company>State of Texas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24036</dc:subject>
  <dc:creator>State of Texas</dc:creator>
  <dc:description>HB 629 by Landgraf-(H)Homeland Security &amp; Public Safety (Substitute Document Number: 86R 19696)</dc:description>
  <cp:lastModifiedBy>Laura Ramsay</cp:lastModifiedBy>
  <cp:revision>2</cp:revision>
  <cp:lastPrinted>2003-11-26T17:21:00Z</cp:lastPrinted>
  <dcterms:created xsi:type="dcterms:W3CDTF">2019-04-08T13:49:00Z</dcterms:created>
  <dcterms:modified xsi:type="dcterms:W3CDTF">2019-04-08T13:49:00Z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19.93.561</vt:lpwstr>
  </property>
</Properties>
</file>