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64DF" w:rsidTr="00345119">
        <w:tc>
          <w:tcPr>
            <w:tcW w:w="9576" w:type="dxa"/>
            <w:noWrap/>
          </w:tcPr>
          <w:p w:rsidR="008423E4" w:rsidRPr="0022177D" w:rsidRDefault="00FF5E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5EC0" w:rsidP="008423E4">
      <w:pPr>
        <w:jc w:val="center"/>
      </w:pPr>
    </w:p>
    <w:p w:rsidR="008423E4" w:rsidRPr="00B31F0E" w:rsidRDefault="00FF5EC0" w:rsidP="008423E4"/>
    <w:p w:rsidR="008423E4" w:rsidRPr="00742794" w:rsidRDefault="00FF5E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64DF" w:rsidTr="00345119">
        <w:tc>
          <w:tcPr>
            <w:tcW w:w="9576" w:type="dxa"/>
          </w:tcPr>
          <w:p w:rsidR="008423E4" w:rsidRPr="00861995" w:rsidRDefault="00FF5EC0" w:rsidP="00345119">
            <w:pPr>
              <w:jc w:val="right"/>
            </w:pPr>
            <w:r>
              <w:t>H.B. 667</w:t>
            </w:r>
          </w:p>
        </w:tc>
      </w:tr>
      <w:tr w:rsidR="009764DF" w:rsidTr="00345119">
        <w:tc>
          <w:tcPr>
            <w:tcW w:w="9576" w:type="dxa"/>
          </w:tcPr>
          <w:p w:rsidR="008423E4" w:rsidRPr="00861995" w:rsidRDefault="00FF5EC0" w:rsidP="00FD617F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9764DF" w:rsidTr="00345119">
        <w:tc>
          <w:tcPr>
            <w:tcW w:w="9576" w:type="dxa"/>
          </w:tcPr>
          <w:p w:rsidR="008423E4" w:rsidRPr="00861995" w:rsidRDefault="00FF5EC0" w:rsidP="00345119">
            <w:pPr>
              <w:jc w:val="right"/>
            </w:pPr>
            <w:r>
              <w:t>Criminal Jurisprudence</w:t>
            </w:r>
          </w:p>
        </w:tc>
      </w:tr>
      <w:tr w:rsidR="009764DF" w:rsidTr="00345119">
        <w:tc>
          <w:tcPr>
            <w:tcW w:w="9576" w:type="dxa"/>
          </w:tcPr>
          <w:p w:rsidR="008423E4" w:rsidRDefault="00FF5E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5EC0" w:rsidP="008423E4">
      <w:pPr>
        <w:tabs>
          <w:tab w:val="right" w:pos="9360"/>
        </w:tabs>
      </w:pPr>
    </w:p>
    <w:p w:rsidR="008423E4" w:rsidRDefault="00FF5EC0" w:rsidP="008423E4"/>
    <w:p w:rsidR="008423E4" w:rsidRDefault="00FF5E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64DF" w:rsidTr="00345119">
        <w:tc>
          <w:tcPr>
            <w:tcW w:w="9576" w:type="dxa"/>
          </w:tcPr>
          <w:p w:rsidR="008423E4" w:rsidRPr="00A8133F" w:rsidRDefault="00FF5EC0" w:rsidP="007730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5EC0" w:rsidP="007730CF"/>
          <w:p w:rsidR="008423E4" w:rsidRDefault="00FF5EC0" w:rsidP="007730CF">
            <w:pPr>
              <w:pStyle w:val="Header"/>
              <w:jc w:val="both"/>
            </w:pPr>
            <w:r>
              <w:t xml:space="preserve">It has been suggested that the current means through which </w:t>
            </w:r>
            <w:r>
              <w:t>the penalty</w:t>
            </w:r>
            <w:r>
              <w:t xml:space="preserve"> for the </w:t>
            </w:r>
            <w:r>
              <w:t>sexual assault of a family member</w:t>
            </w:r>
            <w:r>
              <w:t xml:space="preserve"> </w:t>
            </w:r>
            <w:r>
              <w:t>is</w:t>
            </w:r>
            <w:r>
              <w:t xml:space="preserve"> enhanced creates confusion when</w:t>
            </w:r>
            <w:r>
              <w:t xml:space="preserve"> </w:t>
            </w:r>
            <w:r>
              <w:t xml:space="preserve">attempting to determine whether the </w:t>
            </w:r>
            <w:r>
              <w:t>victim is someone</w:t>
            </w:r>
            <w:r>
              <w:t xml:space="preserve"> with whom the actor is prohibited </w:t>
            </w:r>
            <w:r>
              <w:t xml:space="preserve">from </w:t>
            </w:r>
            <w:r>
              <w:t xml:space="preserve">engaging in sexual conduct.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667 seeks to address this issue by </w:t>
            </w:r>
            <w:r>
              <w:t>revising the penalty enhancement for certain conduct constitut</w:t>
            </w:r>
            <w:r>
              <w:t>ing sexual assault</w:t>
            </w:r>
            <w:r>
              <w:t>.</w:t>
            </w:r>
          </w:p>
          <w:p w:rsidR="008423E4" w:rsidRPr="00E26B13" w:rsidRDefault="00FF5EC0" w:rsidP="007730CF">
            <w:pPr>
              <w:rPr>
                <w:b/>
              </w:rPr>
            </w:pPr>
          </w:p>
        </w:tc>
      </w:tr>
      <w:tr w:rsidR="009764DF" w:rsidTr="00345119">
        <w:tc>
          <w:tcPr>
            <w:tcW w:w="9576" w:type="dxa"/>
          </w:tcPr>
          <w:p w:rsidR="0017725B" w:rsidRDefault="00FF5EC0" w:rsidP="007730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5EC0" w:rsidP="007730CF">
            <w:pPr>
              <w:rPr>
                <w:b/>
                <w:u w:val="single"/>
              </w:rPr>
            </w:pPr>
          </w:p>
          <w:p w:rsidR="00387B24" w:rsidRPr="00387B24" w:rsidRDefault="00FF5EC0" w:rsidP="007730CF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</w:t>
            </w:r>
            <w:r>
              <w:t>es the eligibility of a person for community supervision, parole, or mandatory supervision.</w:t>
            </w:r>
          </w:p>
          <w:p w:rsidR="0017725B" w:rsidRPr="0017725B" w:rsidRDefault="00FF5EC0" w:rsidP="007730CF">
            <w:pPr>
              <w:rPr>
                <w:b/>
                <w:u w:val="single"/>
              </w:rPr>
            </w:pPr>
          </w:p>
        </w:tc>
      </w:tr>
      <w:tr w:rsidR="009764DF" w:rsidTr="00345119">
        <w:tc>
          <w:tcPr>
            <w:tcW w:w="9576" w:type="dxa"/>
          </w:tcPr>
          <w:p w:rsidR="008423E4" w:rsidRPr="00A8133F" w:rsidRDefault="00FF5EC0" w:rsidP="007730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5EC0" w:rsidP="007730CF"/>
          <w:p w:rsidR="00387B24" w:rsidRDefault="00FF5EC0" w:rsidP="007730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FF5EC0" w:rsidP="007730CF">
            <w:pPr>
              <w:rPr>
                <w:b/>
              </w:rPr>
            </w:pPr>
          </w:p>
        </w:tc>
      </w:tr>
      <w:tr w:rsidR="009764DF" w:rsidTr="00345119">
        <w:tc>
          <w:tcPr>
            <w:tcW w:w="9576" w:type="dxa"/>
          </w:tcPr>
          <w:p w:rsidR="008423E4" w:rsidRPr="00A8133F" w:rsidRDefault="00FF5EC0" w:rsidP="007730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5EC0" w:rsidP="007730CF"/>
          <w:p w:rsidR="003754A0" w:rsidRDefault="00FF5EC0" w:rsidP="007730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667 amends the Penal Code to </w:t>
            </w:r>
            <w:r>
              <w:t>establish as an</w:t>
            </w:r>
            <w:r>
              <w:t xml:space="preserve"> affirmative defense to prosecution for sexual assault against a pers</w:t>
            </w:r>
            <w:r>
              <w:t xml:space="preserve">on </w:t>
            </w:r>
            <w:r>
              <w:t>younger than</w:t>
            </w:r>
            <w:r>
              <w:t xml:space="preserve"> 17 years of age</w:t>
            </w:r>
            <w:r>
              <w:t xml:space="preserve"> but 14 years of age</w:t>
            </w:r>
            <w:r>
              <w:t xml:space="preserve"> </w:t>
            </w:r>
            <w:r>
              <w:t xml:space="preserve">or older </w:t>
            </w:r>
            <w:r>
              <w:t>that</w:t>
            </w:r>
            <w:r>
              <w:t>:</w:t>
            </w:r>
          </w:p>
          <w:p w:rsidR="003754A0" w:rsidRPr="00CD1E01" w:rsidRDefault="00FF5EC0" w:rsidP="007730C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 xml:space="preserve">the actor was not more than three years older than the victim and at the time of the offense was not required to register for life as a sex offender </w:t>
            </w:r>
            <w:r>
              <w:t xml:space="preserve">or </w:t>
            </w:r>
            <w:r>
              <w:t xml:space="preserve">was not a person who </w:t>
            </w:r>
            <w:r>
              <w:t>had a reportable conviction or adjudication</w:t>
            </w:r>
            <w:r>
              <w:t xml:space="preserve"> under the sex offender registration pro</w:t>
            </w:r>
            <w:r>
              <w:t>gram</w:t>
            </w:r>
            <w:r>
              <w:t xml:space="preserve"> for sexual assault</w:t>
            </w:r>
            <w:r>
              <w:t>;</w:t>
            </w:r>
            <w:r>
              <w:t xml:space="preserve"> and</w:t>
            </w:r>
          </w:p>
          <w:p w:rsidR="003754A0" w:rsidRPr="00CD1E01" w:rsidRDefault="00FF5EC0" w:rsidP="007730C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 xml:space="preserve">the victim was not a person with whom the actor was prohibited from engaging in sexual intercourse or deviate sexual intercourse </w:t>
            </w:r>
            <w:r>
              <w:t>u</w:t>
            </w:r>
            <w:r>
              <w:t>nder state law</w:t>
            </w:r>
            <w:r>
              <w:t xml:space="preserve"> </w:t>
            </w:r>
            <w:r>
              <w:t xml:space="preserve">establishing </w:t>
            </w:r>
            <w:r>
              <w:t>the</w:t>
            </w:r>
            <w:r>
              <w:t xml:space="preserve"> offense of prohibited sexual conduct</w:t>
            </w:r>
            <w:r>
              <w:t xml:space="preserve">. </w:t>
            </w:r>
          </w:p>
          <w:p w:rsidR="003754A0" w:rsidRDefault="00FF5EC0" w:rsidP="007730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AC2105" w:rsidRDefault="00FF5EC0" w:rsidP="007730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H.B. 667</w:t>
            </w:r>
            <w:r>
              <w:t xml:space="preserve"> </w:t>
            </w:r>
            <w:r>
              <w:t xml:space="preserve">enhances from a </w:t>
            </w:r>
            <w:r>
              <w:t>second degree felony to a first degree felony the penalty for sexual assault</w:t>
            </w:r>
            <w:r>
              <w:t xml:space="preserve"> if the victim was a person </w:t>
            </w:r>
            <w:r w:rsidRPr="00E25687">
              <w:t>with whom the actor was prohibited from engaging in sexual intercourse or deviate sexual intercourse</w:t>
            </w:r>
            <w:r>
              <w:t xml:space="preserve"> </w:t>
            </w:r>
            <w:r>
              <w:t xml:space="preserve">under </w:t>
            </w:r>
            <w:r>
              <w:t xml:space="preserve">that </w:t>
            </w:r>
            <w:r>
              <w:t xml:space="preserve">state </w:t>
            </w:r>
            <w:r>
              <w:t>law</w:t>
            </w:r>
            <w:r>
              <w:t>.</w:t>
            </w:r>
          </w:p>
          <w:p w:rsidR="008423E4" w:rsidRPr="00835628" w:rsidRDefault="00FF5EC0" w:rsidP="007730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 xml:space="preserve">         </w:t>
            </w:r>
          </w:p>
        </w:tc>
      </w:tr>
      <w:tr w:rsidR="009764DF" w:rsidTr="00345119">
        <w:tc>
          <w:tcPr>
            <w:tcW w:w="9576" w:type="dxa"/>
          </w:tcPr>
          <w:p w:rsidR="008423E4" w:rsidRPr="00A8133F" w:rsidRDefault="00FF5EC0" w:rsidP="007730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5EC0" w:rsidP="007730CF"/>
          <w:p w:rsidR="008423E4" w:rsidRPr="00233FDB" w:rsidRDefault="00FF5EC0" w:rsidP="007730C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</w:p>
        </w:tc>
      </w:tr>
    </w:tbl>
    <w:p w:rsidR="008423E4" w:rsidRPr="00BE0E75" w:rsidRDefault="00FF5E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5EC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5EC0">
      <w:r>
        <w:separator/>
      </w:r>
    </w:p>
  </w:endnote>
  <w:endnote w:type="continuationSeparator" w:id="0">
    <w:p w:rsidR="00000000" w:rsidRDefault="00FF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5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64DF" w:rsidTr="009C1E9A">
      <w:trPr>
        <w:cantSplit/>
      </w:trPr>
      <w:tc>
        <w:tcPr>
          <w:tcW w:w="0" w:type="pct"/>
        </w:tcPr>
        <w:p w:rsidR="00137D90" w:rsidRDefault="00FF5E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5E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5E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5E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5E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64DF" w:rsidTr="009C1E9A">
      <w:trPr>
        <w:cantSplit/>
      </w:trPr>
      <w:tc>
        <w:tcPr>
          <w:tcW w:w="0" w:type="pct"/>
        </w:tcPr>
        <w:p w:rsidR="00EC379B" w:rsidRDefault="00FF5E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5E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15863</w:t>
          </w:r>
        </w:p>
      </w:tc>
      <w:tc>
        <w:tcPr>
          <w:tcW w:w="2453" w:type="pct"/>
        </w:tcPr>
        <w:p w:rsidR="00EC379B" w:rsidRDefault="00FF5E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19.59.88</w:t>
          </w:r>
          <w:r>
            <w:fldChar w:fldCharType="end"/>
          </w:r>
        </w:p>
      </w:tc>
    </w:tr>
    <w:tr w:rsidR="009764DF" w:rsidTr="009C1E9A">
      <w:trPr>
        <w:cantSplit/>
      </w:trPr>
      <w:tc>
        <w:tcPr>
          <w:tcW w:w="0" w:type="pct"/>
        </w:tcPr>
        <w:p w:rsidR="00EC379B" w:rsidRDefault="00FF5E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5E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5EC0" w:rsidP="006D504F">
          <w:pPr>
            <w:pStyle w:val="Footer"/>
            <w:rPr>
              <w:rStyle w:val="PageNumber"/>
            </w:rPr>
          </w:pPr>
        </w:p>
        <w:p w:rsidR="00EC379B" w:rsidRDefault="00FF5E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64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5E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5E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5E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5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5EC0">
      <w:r>
        <w:separator/>
      </w:r>
    </w:p>
  </w:footnote>
  <w:footnote w:type="continuationSeparator" w:id="0">
    <w:p w:rsidR="00000000" w:rsidRDefault="00FF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5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5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5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24A"/>
    <w:multiLevelType w:val="hybridMultilevel"/>
    <w:tmpl w:val="AD2E2C60"/>
    <w:lvl w:ilvl="0" w:tplc="BAC81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E9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C1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29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C1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49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9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EA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C4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F"/>
    <w:rsid w:val="009764DF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519D56-A5E6-4319-A06A-F274A6ED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7B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B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1660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HB00667 (Committee Report (Unamended))</vt:lpstr>
    </vt:vector>
  </TitlesOfParts>
  <Company>State of Texas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15863</dc:subject>
  <dc:creator>State of Texas</dc:creator>
  <dc:description>HB 667 by King, Ken-(H)Criminal Jurisprudence</dc:description>
  <cp:lastModifiedBy>Erin Conway</cp:lastModifiedBy>
  <cp:revision>2</cp:revision>
  <cp:lastPrinted>2003-11-26T17:21:00Z</cp:lastPrinted>
  <dcterms:created xsi:type="dcterms:W3CDTF">2019-03-19T20:57:00Z</dcterms:created>
  <dcterms:modified xsi:type="dcterms:W3CDTF">2019-03-19T20:57:00Z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19.59.88</vt:lpwstr>
  </property>
</Properties>
</file>