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11376" w:rsidTr="00345119">
        <w:tc>
          <w:tcPr>
            <w:tcW w:w="9576" w:type="dxa"/>
            <w:noWrap/>
          </w:tcPr>
          <w:p w:rsidR="008423E4" w:rsidRPr="0022177D" w:rsidRDefault="00B923C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923CA" w:rsidP="008423E4">
      <w:pPr>
        <w:jc w:val="center"/>
      </w:pPr>
    </w:p>
    <w:p w:rsidR="008423E4" w:rsidRPr="00B31F0E" w:rsidRDefault="00B923CA" w:rsidP="008423E4"/>
    <w:p w:rsidR="008423E4" w:rsidRPr="00742794" w:rsidRDefault="00B923C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11376" w:rsidTr="00345119">
        <w:tc>
          <w:tcPr>
            <w:tcW w:w="9576" w:type="dxa"/>
          </w:tcPr>
          <w:p w:rsidR="008423E4" w:rsidRPr="00861995" w:rsidRDefault="00B923CA" w:rsidP="00345119">
            <w:pPr>
              <w:jc w:val="right"/>
            </w:pPr>
            <w:r>
              <w:t>C.S.H.B. 669</w:t>
            </w:r>
          </w:p>
        </w:tc>
      </w:tr>
      <w:tr w:rsidR="00D11376" w:rsidTr="00345119">
        <w:tc>
          <w:tcPr>
            <w:tcW w:w="9576" w:type="dxa"/>
          </w:tcPr>
          <w:p w:rsidR="008423E4" w:rsidRPr="00861995" w:rsidRDefault="00B923CA" w:rsidP="00C40E92">
            <w:pPr>
              <w:jc w:val="right"/>
            </w:pPr>
            <w:r>
              <w:t xml:space="preserve">By: </w:t>
            </w:r>
            <w:r>
              <w:t>King, Ken</w:t>
            </w:r>
          </w:p>
        </w:tc>
      </w:tr>
      <w:tr w:rsidR="00D11376" w:rsidTr="00345119">
        <w:tc>
          <w:tcPr>
            <w:tcW w:w="9576" w:type="dxa"/>
          </w:tcPr>
          <w:p w:rsidR="008423E4" w:rsidRPr="00861995" w:rsidRDefault="00B923CA" w:rsidP="00345119">
            <w:pPr>
              <w:jc w:val="right"/>
            </w:pPr>
            <w:r>
              <w:t>State Affairs</w:t>
            </w:r>
          </w:p>
        </w:tc>
      </w:tr>
      <w:tr w:rsidR="00D11376" w:rsidTr="00345119">
        <w:tc>
          <w:tcPr>
            <w:tcW w:w="9576" w:type="dxa"/>
          </w:tcPr>
          <w:p w:rsidR="008423E4" w:rsidRDefault="00B923C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923CA" w:rsidP="008423E4">
      <w:pPr>
        <w:tabs>
          <w:tab w:val="right" w:pos="9360"/>
        </w:tabs>
      </w:pPr>
    </w:p>
    <w:p w:rsidR="008423E4" w:rsidRDefault="00B923CA" w:rsidP="008423E4"/>
    <w:p w:rsidR="008423E4" w:rsidRDefault="00B923C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11376" w:rsidTr="00345119">
        <w:tc>
          <w:tcPr>
            <w:tcW w:w="9576" w:type="dxa"/>
          </w:tcPr>
          <w:p w:rsidR="008423E4" w:rsidRPr="00A8133F" w:rsidRDefault="00B923CA" w:rsidP="00870A7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923CA" w:rsidP="00870A72"/>
          <w:p w:rsidR="008423E4" w:rsidRDefault="00B923CA" w:rsidP="00870A72">
            <w:pPr>
              <w:pStyle w:val="Header"/>
              <w:jc w:val="both"/>
            </w:pPr>
            <w:r>
              <w:t>It has been noted that the universal service fund was established to provide support for telecommunication</w:t>
            </w:r>
            <w:r>
              <w:t>s</w:t>
            </w:r>
            <w:r>
              <w:t xml:space="preserve"> services in high cost and rural areas. There have been calls to use the fund to expand broadband </w:t>
            </w:r>
            <w:r>
              <w:t xml:space="preserve">service </w:t>
            </w:r>
            <w:r>
              <w:t xml:space="preserve">access and help more rural Texans benefit from modern </w:t>
            </w:r>
            <w:r>
              <w:t xml:space="preserve">technology </w:t>
            </w:r>
            <w:r>
              <w:t>advance</w:t>
            </w:r>
            <w:r>
              <w:t>ments</w:t>
            </w:r>
            <w:r>
              <w:t xml:space="preserve">. </w:t>
            </w:r>
            <w:r>
              <w:t>C.S.</w:t>
            </w:r>
            <w:r>
              <w:t>H.B. 669 seeks to answer these calls by</w:t>
            </w:r>
            <w:r>
              <w:t xml:space="preserve"> providing for a rural broad</w:t>
            </w:r>
            <w:r>
              <w:t>band service program</w:t>
            </w:r>
            <w:r>
              <w:t>.</w:t>
            </w:r>
          </w:p>
          <w:p w:rsidR="008423E4" w:rsidRPr="00E26B13" w:rsidRDefault="00B923CA" w:rsidP="00870A72">
            <w:pPr>
              <w:rPr>
                <w:b/>
              </w:rPr>
            </w:pPr>
          </w:p>
        </w:tc>
      </w:tr>
      <w:tr w:rsidR="00D11376" w:rsidTr="00345119">
        <w:tc>
          <w:tcPr>
            <w:tcW w:w="9576" w:type="dxa"/>
          </w:tcPr>
          <w:p w:rsidR="0017725B" w:rsidRDefault="00B923CA" w:rsidP="00870A7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923CA" w:rsidP="00870A72">
            <w:pPr>
              <w:rPr>
                <w:b/>
                <w:u w:val="single"/>
              </w:rPr>
            </w:pPr>
          </w:p>
          <w:p w:rsidR="000E0457" w:rsidRPr="000E0457" w:rsidRDefault="00B923CA" w:rsidP="00870A7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</w:t>
            </w:r>
            <w:r>
              <w:t>son for community supervision, parole, or mandatory supervision.</w:t>
            </w:r>
          </w:p>
          <w:p w:rsidR="0017725B" w:rsidRPr="0017725B" w:rsidRDefault="00B923CA" w:rsidP="00870A72">
            <w:pPr>
              <w:rPr>
                <w:b/>
                <w:u w:val="single"/>
              </w:rPr>
            </w:pPr>
          </w:p>
        </w:tc>
      </w:tr>
      <w:tr w:rsidR="00D11376" w:rsidTr="00345119">
        <w:tc>
          <w:tcPr>
            <w:tcW w:w="9576" w:type="dxa"/>
          </w:tcPr>
          <w:p w:rsidR="008423E4" w:rsidRPr="00A8133F" w:rsidRDefault="00B923CA" w:rsidP="00870A7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923CA" w:rsidP="00870A72"/>
          <w:p w:rsidR="000E0457" w:rsidRDefault="00B923CA" w:rsidP="00870A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</w:t>
            </w:r>
            <w:r>
              <w:t>the Public Utility Commission of Texas</w:t>
            </w:r>
            <w:r>
              <w:t xml:space="preserve"> in </w:t>
            </w:r>
            <w:r>
              <w:t>SECTION</w:t>
            </w:r>
            <w:r>
              <w:t>S</w:t>
            </w:r>
            <w:r>
              <w:t xml:space="preserve"> </w:t>
            </w:r>
            <w:r>
              <w:t>3</w:t>
            </w:r>
            <w:r>
              <w:t xml:space="preserve"> and 7</w:t>
            </w:r>
            <w:r>
              <w:t xml:space="preserve"> of this bill.</w:t>
            </w:r>
          </w:p>
          <w:p w:rsidR="008423E4" w:rsidRPr="00E21FDC" w:rsidRDefault="00B923CA" w:rsidP="00870A72">
            <w:pPr>
              <w:rPr>
                <w:b/>
              </w:rPr>
            </w:pPr>
          </w:p>
        </w:tc>
      </w:tr>
      <w:tr w:rsidR="00D11376" w:rsidTr="00345119">
        <w:tc>
          <w:tcPr>
            <w:tcW w:w="9576" w:type="dxa"/>
          </w:tcPr>
          <w:p w:rsidR="008423E4" w:rsidRPr="00A8133F" w:rsidRDefault="00B923CA" w:rsidP="00870A7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923CA" w:rsidP="00870A72"/>
          <w:p w:rsidR="00B329A3" w:rsidRDefault="00B923CA" w:rsidP="00870A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669 amends the Utilities Code to</w:t>
            </w:r>
            <w:r>
              <w:t xml:space="preserve"> </w:t>
            </w:r>
            <w:r>
              <w:t xml:space="preserve">require the </w:t>
            </w:r>
            <w:r w:rsidRPr="008E7D0A">
              <w:t>Public Utility Commission of Texas</w:t>
            </w:r>
            <w:r>
              <w:t xml:space="preserve"> (</w:t>
            </w:r>
            <w:r>
              <w:t>PUC</w:t>
            </w:r>
            <w:r>
              <w:t>)</w:t>
            </w:r>
            <w:r>
              <w:t xml:space="preserve"> to provide from </w:t>
            </w:r>
            <w:r>
              <w:t xml:space="preserve">broadband charge receipts from electing providers, support for broadband service providers to offer retail </w:t>
            </w:r>
            <w:r>
              <w:t xml:space="preserve">broadband service in </w:t>
            </w:r>
            <w:r>
              <w:t xml:space="preserve">underserved </w:t>
            </w:r>
            <w:r>
              <w:t>rural</w:t>
            </w:r>
            <w:r>
              <w:t xml:space="preserve"> areas of Texas at rates comparable to the benchmark rates established by the Federal Communications Commission.</w:t>
            </w:r>
            <w:r>
              <w:t xml:space="preserve"> </w:t>
            </w:r>
            <w:r>
              <w:t xml:space="preserve">The bill </w:t>
            </w:r>
            <w:r>
              <w:t xml:space="preserve">prohibits support received under </w:t>
            </w:r>
            <w:r>
              <w:t xml:space="preserve">this </w:t>
            </w:r>
            <w:r>
              <w:t>rural broadband service program from being used for a</w:t>
            </w:r>
            <w:r>
              <w:t>nother</w:t>
            </w:r>
            <w:r>
              <w:t xml:space="preserve"> purpose</w:t>
            </w:r>
            <w:r>
              <w:t xml:space="preserve"> and</w:t>
            </w:r>
            <w:r>
              <w:t xml:space="preserve"> requires the PUC by rule</w:t>
            </w:r>
            <w:r>
              <w:t xml:space="preserve"> to adopt criteria for areas of Texas to qualify as </w:t>
            </w:r>
            <w:r>
              <w:t xml:space="preserve">underserved </w:t>
            </w:r>
            <w:r>
              <w:t xml:space="preserve">rural </w:t>
            </w:r>
            <w:r>
              <w:t>areas for purposes of the program</w:t>
            </w:r>
            <w:r>
              <w:t>.</w:t>
            </w:r>
            <w:r>
              <w:t xml:space="preserve"> </w:t>
            </w:r>
            <w:r>
              <w:t xml:space="preserve">The bill requires </w:t>
            </w:r>
            <w:r w:rsidRPr="00B03120">
              <w:t xml:space="preserve">a broadband service provider to notify the PUC of </w:t>
            </w:r>
            <w:r>
              <w:t>its</w:t>
            </w:r>
            <w:r w:rsidRPr="00B03120">
              <w:t xml:space="preserve"> election to participate in the program and pay the </w:t>
            </w:r>
            <w:r>
              <w:t xml:space="preserve">applicable </w:t>
            </w:r>
            <w:r w:rsidRPr="00B03120">
              <w:t>uniform charge be</w:t>
            </w:r>
            <w:r w:rsidRPr="00B03120">
              <w:t>fore receiv</w:t>
            </w:r>
            <w:r>
              <w:t>ing</w:t>
            </w:r>
            <w:r w:rsidRPr="00B03120">
              <w:t xml:space="preserve"> financial assistance under the program</w:t>
            </w:r>
            <w:r>
              <w:t xml:space="preserve"> </w:t>
            </w:r>
            <w:r>
              <w:t xml:space="preserve">and </w:t>
            </w:r>
            <w:r>
              <w:t>requires t</w:t>
            </w:r>
            <w:r w:rsidRPr="008E7D0A">
              <w:t xml:space="preserve">he </w:t>
            </w:r>
            <w:r>
              <w:t>PUC to</w:t>
            </w:r>
            <w:r w:rsidRPr="008E7D0A">
              <w:t xml:space="preserve"> adopt rules to ensure that support provided under th</w:t>
            </w:r>
            <w:r>
              <w:t>e program</w:t>
            </w:r>
            <w:r w:rsidRPr="008E7D0A">
              <w:t xml:space="preserve"> is calculated in a manner that is consistent with standard accounting principles</w:t>
            </w:r>
            <w:r>
              <w:t>.</w:t>
            </w:r>
            <w:r w:rsidRPr="00B03120">
              <w:t xml:space="preserve"> </w:t>
            </w:r>
            <w:r>
              <w:t>The bill requires the PUC</w:t>
            </w:r>
            <w:r>
              <w:t xml:space="preserve"> </w:t>
            </w:r>
            <w:r>
              <w:t>by rule to establish standards for networks built or maintained using support disbursed under the program</w:t>
            </w:r>
            <w:r>
              <w:t xml:space="preserve"> and</w:t>
            </w:r>
            <w:r>
              <w:t xml:space="preserve"> </w:t>
            </w:r>
            <w:r>
              <w:t xml:space="preserve">sets out requirements for </w:t>
            </w:r>
            <w:r>
              <w:t>the</w:t>
            </w:r>
            <w:r>
              <w:t xml:space="preserve"> standards</w:t>
            </w:r>
            <w:r>
              <w:t xml:space="preserve">. </w:t>
            </w:r>
          </w:p>
          <w:p w:rsidR="00B329A3" w:rsidRDefault="00B923CA" w:rsidP="00870A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03CC9" w:rsidRDefault="00B923CA" w:rsidP="00870A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669</w:t>
            </w:r>
            <w:r>
              <w:t xml:space="preserve"> includes </w:t>
            </w:r>
            <w:r>
              <w:t>providing support for</w:t>
            </w:r>
            <w:r w:rsidRPr="00794447">
              <w:t xml:space="preserve"> </w:t>
            </w:r>
            <w:r w:rsidRPr="00794447">
              <w:t xml:space="preserve">the rural broadband service program among the purposes </w:t>
            </w:r>
            <w:r>
              <w:t xml:space="preserve">of </w:t>
            </w:r>
            <w:r>
              <w:t>t</w:t>
            </w:r>
            <w:r>
              <w:t>he</w:t>
            </w:r>
            <w:r w:rsidRPr="00794447">
              <w:t xml:space="preserve"> </w:t>
            </w:r>
            <w:r w:rsidRPr="00794447">
              <w:t>universal service fund</w:t>
            </w:r>
            <w:r>
              <w:t xml:space="preserve"> and includes broadband service providers that elect to participate in the program among the entities required to </w:t>
            </w:r>
            <w:r>
              <w:t>participate</w:t>
            </w:r>
            <w:r>
              <w:t xml:space="preserve"> </w:t>
            </w:r>
            <w:r>
              <w:t>in the</w:t>
            </w:r>
            <w:r>
              <w:t xml:space="preserve"> fund</w:t>
            </w:r>
            <w:r>
              <w:t xml:space="preserve"> under PUC rules</w:t>
            </w:r>
            <w:r>
              <w:t xml:space="preserve">. </w:t>
            </w:r>
            <w:r>
              <w:t>The bill</w:t>
            </w:r>
            <w:r>
              <w:t xml:space="preserve"> includes</w:t>
            </w:r>
            <w:r>
              <w:t xml:space="preserve"> </w:t>
            </w:r>
            <w:r>
              <w:t>provider</w:t>
            </w:r>
            <w:r>
              <w:t>s participating in the program</w:t>
            </w:r>
            <w:r>
              <w:t xml:space="preserve"> among </w:t>
            </w:r>
            <w:r>
              <w:t>those</w:t>
            </w:r>
            <w:r>
              <w:t xml:space="preserve"> that fu</w:t>
            </w:r>
            <w:r>
              <w:t>nd the universal service fund through a statewide uniform charge and</w:t>
            </w:r>
            <w:r>
              <w:t xml:space="preserve"> authorizes the PUC to establish separate uniform charges for telecommunications providers and providers</w:t>
            </w:r>
            <w:r>
              <w:t xml:space="preserve"> participating in the program</w:t>
            </w:r>
            <w:r>
              <w:t xml:space="preserve">. </w:t>
            </w:r>
            <w:r>
              <w:t xml:space="preserve">The bill restricts the use of </w:t>
            </w:r>
            <w:r>
              <w:t xml:space="preserve">funds from the uniform </w:t>
            </w:r>
            <w:r>
              <w:t>charge on</w:t>
            </w:r>
            <w:r>
              <w:t xml:space="preserve"> </w:t>
            </w:r>
            <w:r>
              <w:t>those</w:t>
            </w:r>
            <w:r>
              <w:t xml:space="preserve"> provider</w:t>
            </w:r>
            <w:r>
              <w:t>s</w:t>
            </w:r>
            <w:r>
              <w:t xml:space="preserve"> to the funding of program</w:t>
            </w:r>
            <w:r>
              <w:t>s applicable to the respective provider</w:t>
            </w:r>
            <w:r>
              <w:t xml:space="preserve">. </w:t>
            </w:r>
            <w:r>
              <w:t>The bill authorizes t</w:t>
            </w:r>
            <w:r w:rsidRPr="008D4A77">
              <w:t xml:space="preserve">he </w:t>
            </w:r>
            <w:r>
              <w:t>PUC to</w:t>
            </w:r>
            <w:r w:rsidRPr="008D4A77">
              <w:t xml:space="preserve"> assess a uniform charge on a broadband service provider only if the provider notifies the </w:t>
            </w:r>
            <w:r>
              <w:t>PUC</w:t>
            </w:r>
            <w:r w:rsidRPr="008D4A77">
              <w:t xml:space="preserve"> of </w:t>
            </w:r>
            <w:r>
              <w:t>its</w:t>
            </w:r>
            <w:r w:rsidRPr="008D4A77">
              <w:t xml:space="preserve"> election to participate in the</w:t>
            </w:r>
            <w:r>
              <w:t xml:space="preserve"> rural broadband</w:t>
            </w:r>
            <w:r w:rsidRPr="008D4A77">
              <w:t xml:space="preserve"> </w:t>
            </w:r>
            <w:r>
              <w:t xml:space="preserve">service </w:t>
            </w:r>
            <w:r w:rsidRPr="008D4A77">
              <w:t>program</w:t>
            </w:r>
            <w:r>
              <w:t>,</w:t>
            </w:r>
            <w:r>
              <w:t xml:space="preserve"> authorizes </w:t>
            </w:r>
            <w:r>
              <w:t xml:space="preserve">such </w:t>
            </w:r>
            <w:r>
              <w:t>a provider to notify the PUC at any time of the provider's intention to discontinue its participation</w:t>
            </w:r>
            <w:r>
              <w:t xml:space="preserve">, </w:t>
            </w:r>
            <w:r>
              <w:t xml:space="preserve">and makes </w:t>
            </w:r>
            <w:r>
              <w:t>the</w:t>
            </w:r>
            <w:r>
              <w:t xml:space="preserve"> election effective on the 60th day after the date of the notification. </w:t>
            </w:r>
          </w:p>
          <w:p w:rsidR="00103CC9" w:rsidRDefault="00B923CA" w:rsidP="00870A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B923CA" w:rsidP="00870A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669</w:t>
            </w:r>
            <w:r>
              <w:t xml:space="preserve"> </w:t>
            </w:r>
            <w:r>
              <w:t>set</w:t>
            </w:r>
            <w:r>
              <w:t xml:space="preserve">s out specific duties of </w:t>
            </w:r>
            <w:r>
              <w:t>the PUC</w:t>
            </w:r>
            <w:r>
              <w:t xml:space="preserve"> with regard to broadband service providers that elect to participate in the rural broadband service program, including duties relating to the adoption of program eligibility criteria and determination of eligibility</w:t>
            </w:r>
            <w:r>
              <w:t xml:space="preserve"> and</w:t>
            </w:r>
            <w:r>
              <w:t xml:space="preserve"> the</w:t>
            </w:r>
            <w:r>
              <w:t xml:space="preserve"> review </w:t>
            </w:r>
            <w:r>
              <w:t xml:space="preserve">and approval </w:t>
            </w:r>
            <w:r>
              <w:t xml:space="preserve">of certain procedures </w:t>
            </w:r>
            <w:r>
              <w:t>relating to the credit, collection, and distribution of broadband charge receipts under the program.</w:t>
            </w:r>
            <w:r>
              <w:t xml:space="preserve"> </w:t>
            </w:r>
            <w:r>
              <w:t xml:space="preserve">The bill </w:t>
            </w:r>
            <w:r>
              <w:t xml:space="preserve">authorizes the PUC to require </w:t>
            </w:r>
            <w:r>
              <w:t>such a</w:t>
            </w:r>
            <w:r>
              <w:t xml:space="preserve"> provider</w:t>
            </w:r>
            <w:r>
              <w:t xml:space="preserve"> </w:t>
            </w:r>
            <w:r>
              <w:t>to provide a report or information necessary to assess</w:t>
            </w:r>
            <w:r>
              <w:t xml:space="preserve"> co</w:t>
            </w:r>
            <w:r>
              <w:t>ntributions,</w:t>
            </w:r>
            <w:r>
              <w:t xml:space="preserve"> broadband charges</w:t>
            </w:r>
            <w:r>
              <w:t>, and disbursements</w:t>
            </w:r>
            <w:r>
              <w:t xml:space="preserve"> </w:t>
            </w:r>
            <w:r>
              <w:t>to the universal service fund</w:t>
            </w:r>
            <w:r>
              <w:t xml:space="preserve"> and makes the report or information confidential and not subject to disclosure under </w:t>
            </w:r>
            <w:r w:rsidRPr="00B713B8">
              <w:t>state public information law</w:t>
            </w:r>
            <w:r>
              <w:t xml:space="preserve">. </w:t>
            </w:r>
          </w:p>
          <w:p w:rsidR="00B713B8" w:rsidRDefault="00B923CA" w:rsidP="007C60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713B8" w:rsidRDefault="00B923CA" w:rsidP="007C6029">
            <w:pPr>
              <w:pStyle w:val="Header"/>
              <w:jc w:val="both"/>
            </w:pPr>
            <w:r>
              <w:t>C.S.H.B. 669 grants the PUC jurisdiction relating to broadb</w:t>
            </w:r>
            <w:r>
              <w:t xml:space="preserve">and service providers only as necessary to enforce provisions relating to </w:t>
            </w:r>
            <w:r w:rsidRPr="00B713B8">
              <w:t xml:space="preserve">telecommunications assistance and </w:t>
            </w:r>
            <w:r>
              <w:t xml:space="preserve">the </w:t>
            </w:r>
            <w:r w:rsidRPr="00B713B8">
              <w:t>universal service fund</w:t>
            </w:r>
            <w:r>
              <w:t xml:space="preserve"> and enforce rules adopted under </w:t>
            </w:r>
            <w:r>
              <w:t>those</w:t>
            </w:r>
            <w:r>
              <w:t xml:space="preserve"> provisions. The bill establishes that those provisions do not otherwise grant the P</w:t>
            </w:r>
            <w:r>
              <w:t>UC authority to regulate broadband services or broadband service providers.</w:t>
            </w:r>
            <w:r>
              <w:t xml:space="preserve"> The bill defines </w:t>
            </w:r>
            <w:r w:rsidRPr="00D17035">
              <w:t>"</w:t>
            </w:r>
            <w:r>
              <w:t>b</w:t>
            </w:r>
            <w:r w:rsidRPr="00D17035">
              <w:t>roadband service"</w:t>
            </w:r>
            <w:r>
              <w:t xml:space="preserve"> and </w:t>
            </w:r>
            <w:r w:rsidRPr="00D17035">
              <w:t>"</w:t>
            </w:r>
            <w:r>
              <w:t>b</w:t>
            </w:r>
            <w:r w:rsidRPr="00D17035">
              <w:t>roadband service provider</w:t>
            </w:r>
            <w:r>
              <w:t>.</w:t>
            </w:r>
            <w:r w:rsidRPr="00D17035">
              <w:t>"</w:t>
            </w:r>
          </w:p>
          <w:p w:rsidR="008423E4" w:rsidRPr="00835628" w:rsidRDefault="00B923CA" w:rsidP="00870A72">
            <w:pPr>
              <w:rPr>
                <w:b/>
              </w:rPr>
            </w:pPr>
          </w:p>
        </w:tc>
      </w:tr>
      <w:tr w:rsidR="00D11376" w:rsidTr="00345119">
        <w:tc>
          <w:tcPr>
            <w:tcW w:w="9576" w:type="dxa"/>
          </w:tcPr>
          <w:p w:rsidR="008423E4" w:rsidRPr="00A8133F" w:rsidRDefault="00B923CA" w:rsidP="00870A7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923CA" w:rsidP="00870A72"/>
          <w:p w:rsidR="008423E4" w:rsidRPr="003624F2" w:rsidRDefault="00B923CA" w:rsidP="00870A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B923CA" w:rsidP="00870A72">
            <w:pPr>
              <w:rPr>
                <w:b/>
              </w:rPr>
            </w:pPr>
          </w:p>
        </w:tc>
      </w:tr>
      <w:tr w:rsidR="00D11376" w:rsidTr="00345119">
        <w:tc>
          <w:tcPr>
            <w:tcW w:w="9576" w:type="dxa"/>
          </w:tcPr>
          <w:p w:rsidR="00C40E92" w:rsidRDefault="00B923CA" w:rsidP="00870A7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FF621A" w:rsidRDefault="00B923CA" w:rsidP="00870A72">
            <w:pPr>
              <w:jc w:val="both"/>
            </w:pPr>
          </w:p>
          <w:p w:rsidR="00FF621A" w:rsidRDefault="00B923CA" w:rsidP="00870A72">
            <w:pPr>
              <w:jc w:val="both"/>
            </w:pPr>
            <w:r>
              <w:t>While C.S.H.B. 669 may differ</w:t>
            </w:r>
            <w:r>
              <w:t xml:space="preserve"> from the original in minor or nonsubstantive ways, the following summarizes the substantial differences between the introduced and committee substitute versions of the bill.</w:t>
            </w:r>
          </w:p>
          <w:p w:rsidR="003A66C9" w:rsidRDefault="00B923CA" w:rsidP="00870A72">
            <w:pPr>
              <w:jc w:val="both"/>
            </w:pPr>
          </w:p>
          <w:p w:rsidR="006934B3" w:rsidRDefault="00B923CA" w:rsidP="00870A72">
            <w:pPr>
              <w:jc w:val="both"/>
            </w:pPr>
            <w:r>
              <w:t xml:space="preserve">The substitute, with respect to the rural broadband service program, </w:t>
            </w:r>
            <w:r>
              <w:t>does not in</w:t>
            </w:r>
            <w:r>
              <w:t xml:space="preserve">clude a requirement that the PUC </w:t>
            </w:r>
            <w:r w:rsidRPr="00AA1666">
              <w:t>provid</w:t>
            </w:r>
            <w:r>
              <w:t>e</w:t>
            </w:r>
            <w:r w:rsidRPr="00AA1666">
              <w:t xml:space="preserve"> from the universal service fund financial assistance for an incumbent local exchange company to build and maintain facility-based networks capable of providing access to broadband service in rural areas of </w:t>
            </w:r>
            <w:r>
              <w:t>Texas</w:t>
            </w:r>
            <w:r w:rsidRPr="00AA1666">
              <w:t xml:space="preserve"> whe</w:t>
            </w:r>
            <w:r w:rsidRPr="00AA1666">
              <w:t>re support is necessary</w:t>
            </w:r>
            <w:r>
              <w:t xml:space="preserve"> at certain rates</w:t>
            </w:r>
            <w:r>
              <w:t xml:space="preserve">. The substitute includes </w:t>
            </w:r>
            <w:r>
              <w:t>a requirement that the PUC</w:t>
            </w:r>
            <w:r>
              <w:t xml:space="preserve"> instead</w:t>
            </w:r>
            <w:r>
              <w:t xml:space="preserve"> provide from broadband charge receipts from elect</w:t>
            </w:r>
            <w:r>
              <w:t>ing providers</w:t>
            </w:r>
            <w:r>
              <w:t>,</w:t>
            </w:r>
            <w:r>
              <w:t xml:space="preserve"> support for broadband service providers to offer retail broadband service in underserved ru</w:t>
            </w:r>
            <w:r>
              <w:t>ral areas of Texas at those rates.</w:t>
            </w:r>
            <w:r>
              <w:t xml:space="preserve"> </w:t>
            </w:r>
          </w:p>
          <w:p w:rsidR="006934B3" w:rsidRDefault="00B923CA" w:rsidP="00870A72">
            <w:pPr>
              <w:jc w:val="both"/>
            </w:pPr>
          </w:p>
          <w:p w:rsidR="00AA1666" w:rsidRDefault="00B923CA" w:rsidP="00870A72">
            <w:pPr>
              <w:jc w:val="both"/>
            </w:pPr>
            <w:r>
              <w:t>The substitute includes a provision requiring a</w:t>
            </w:r>
            <w:r w:rsidRPr="005209C9">
              <w:t xml:space="preserve"> broadband service provider </w:t>
            </w:r>
            <w:r>
              <w:t>to</w:t>
            </w:r>
            <w:r w:rsidRPr="005209C9">
              <w:t xml:space="preserve"> notify the </w:t>
            </w:r>
            <w:r>
              <w:t>PUC</w:t>
            </w:r>
            <w:r w:rsidRPr="005209C9">
              <w:t xml:space="preserve"> of </w:t>
            </w:r>
            <w:r>
              <w:t>its</w:t>
            </w:r>
            <w:r w:rsidRPr="005209C9">
              <w:t xml:space="preserve"> election to participate in the program and pay the </w:t>
            </w:r>
            <w:r>
              <w:t xml:space="preserve">applicable </w:t>
            </w:r>
            <w:r w:rsidRPr="005209C9">
              <w:t xml:space="preserve">uniform charge </w:t>
            </w:r>
            <w:r>
              <w:t>and</w:t>
            </w:r>
            <w:r w:rsidRPr="00680F72">
              <w:t xml:space="preserve"> includes </w:t>
            </w:r>
            <w:r>
              <w:t xml:space="preserve">such </w:t>
            </w:r>
            <w:r w:rsidRPr="00680F72">
              <w:t>elect</w:t>
            </w:r>
            <w:r>
              <w:t>ing</w:t>
            </w:r>
            <w:r w:rsidRPr="00680F72">
              <w:t xml:space="preserve"> </w:t>
            </w:r>
            <w:r>
              <w:t>providers</w:t>
            </w:r>
            <w:r w:rsidRPr="00680F72">
              <w:t xml:space="preserve"> among</w:t>
            </w:r>
            <w:r w:rsidRPr="00680F72">
              <w:t xml:space="preserve"> the entities required to participate in the</w:t>
            </w:r>
            <w:r>
              <w:t xml:space="preserve"> universal service</w:t>
            </w:r>
            <w:r w:rsidRPr="00680F72">
              <w:t xml:space="preserve"> fund under PUC rules.</w:t>
            </w:r>
          </w:p>
          <w:p w:rsidR="00680F72" w:rsidRDefault="00B923CA" w:rsidP="00870A72">
            <w:pPr>
              <w:jc w:val="both"/>
            </w:pPr>
          </w:p>
          <w:p w:rsidR="00A16FBE" w:rsidRDefault="00B923CA" w:rsidP="00870A72">
            <w:pPr>
              <w:jc w:val="both"/>
            </w:pPr>
            <w:r>
              <w:t>The substitute does not include a definition for "broadband service" under the bill's provisions establishing the program, but the substitute includes that definition and</w:t>
            </w:r>
            <w:r>
              <w:t xml:space="preserve"> a definition for "broadband service provider" under statutory provisions relating to telecommunications assistance and the universal service fund.</w:t>
            </w:r>
          </w:p>
          <w:p w:rsidR="00A16FBE" w:rsidRDefault="00B923CA" w:rsidP="00870A72">
            <w:pPr>
              <w:jc w:val="both"/>
            </w:pPr>
          </w:p>
          <w:p w:rsidR="00680F72" w:rsidRDefault="00B923CA" w:rsidP="00870A72">
            <w:pPr>
              <w:jc w:val="both"/>
            </w:pPr>
            <w:r>
              <w:t xml:space="preserve">The substitute includes provisions </w:t>
            </w:r>
            <w:r>
              <w:t>providing for</w:t>
            </w:r>
            <w:r>
              <w:t>:</w:t>
            </w:r>
          </w:p>
          <w:p w:rsidR="00680F72" w:rsidRDefault="00B923CA" w:rsidP="007C6029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</w:pPr>
            <w:r>
              <w:t>PUC jurisdiction over broadband service providers;</w:t>
            </w:r>
          </w:p>
          <w:p w:rsidR="00AA1666" w:rsidRDefault="00B923CA" w:rsidP="00870A72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</w:pPr>
            <w:r>
              <w:t xml:space="preserve">uniform charges </w:t>
            </w:r>
            <w:r>
              <w:t>on telecommunications providers and electing broadband service providers for</w:t>
            </w:r>
            <w:r>
              <w:t xml:space="preserve"> the universal service fund;</w:t>
            </w:r>
          </w:p>
          <w:p w:rsidR="00680F72" w:rsidRDefault="00B923CA" w:rsidP="00870A72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</w:pPr>
            <w:r>
              <w:t xml:space="preserve">specific PUC powers and duties relating to </w:t>
            </w:r>
            <w:r>
              <w:t xml:space="preserve">such </w:t>
            </w:r>
            <w:r>
              <w:t>electing providers; and</w:t>
            </w:r>
          </w:p>
          <w:p w:rsidR="00680F72" w:rsidRDefault="00B923CA" w:rsidP="007C6029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</w:pPr>
            <w:r>
              <w:t xml:space="preserve">reports or information the PUC may require of </w:t>
            </w:r>
            <w:r>
              <w:t xml:space="preserve">such </w:t>
            </w:r>
            <w:r>
              <w:t xml:space="preserve">an electing </w:t>
            </w:r>
            <w:r>
              <w:t>provider.</w:t>
            </w:r>
          </w:p>
          <w:p w:rsidR="00FF621A" w:rsidRPr="005A4D8D" w:rsidRDefault="00B923CA" w:rsidP="007C6029">
            <w:pPr>
              <w:spacing w:before="120"/>
              <w:jc w:val="both"/>
              <w:rPr>
                <w:sz w:val="2"/>
                <w:szCs w:val="2"/>
              </w:rPr>
            </w:pPr>
          </w:p>
        </w:tc>
      </w:tr>
      <w:tr w:rsidR="00D11376" w:rsidTr="00345119">
        <w:tc>
          <w:tcPr>
            <w:tcW w:w="9576" w:type="dxa"/>
          </w:tcPr>
          <w:p w:rsidR="00C40E92" w:rsidRPr="005A4D8D" w:rsidRDefault="00B923CA" w:rsidP="00870A72">
            <w:pPr>
              <w:rPr>
                <w:b/>
                <w:sz w:val="2"/>
                <w:szCs w:val="2"/>
                <w:u w:val="single"/>
              </w:rPr>
            </w:pPr>
          </w:p>
        </w:tc>
      </w:tr>
      <w:tr w:rsidR="00D11376" w:rsidTr="00345119">
        <w:tc>
          <w:tcPr>
            <w:tcW w:w="9576" w:type="dxa"/>
          </w:tcPr>
          <w:p w:rsidR="00C40E92" w:rsidRPr="00C40E92" w:rsidRDefault="00B923CA" w:rsidP="00870A72">
            <w:pPr>
              <w:jc w:val="both"/>
            </w:pPr>
          </w:p>
        </w:tc>
      </w:tr>
    </w:tbl>
    <w:p w:rsidR="008423E4" w:rsidRPr="005A4D8D" w:rsidRDefault="00B923CA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5A4D8D" w:rsidRDefault="00B923CA" w:rsidP="008423E4">
      <w:pPr>
        <w:rPr>
          <w:sz w:val="2"/>
          <w:szCs w:val="2"/>
        </w:rPr>
      </w:pPr>
    </w:p>
    <w:sectPr w:rsidR="004108C3" w:rsidRPr="005A4D8D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923CA">
      <w:r>
        <w:separator/>
      </w:r>
    </w:p>
  </w:endnote>
  <w:endnote w:type="continuationSeparator" w:id="0">
    <w:p w:rsidR="00000000" w:rsidRDefault="00B9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923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11376" w:rsidTr="009C1E9A">
      <w:trPr>
        <w:cantSplit/>
      </w:trPr>
      <w:tc>
        <w:tcPr>
          <w:tcW w:w="0" w:type="pct"/>
        </w:tcPr>
        <w:p w:rsidR="00137D90" w:rsidRDefault="00B923C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923C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923C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923C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923C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11376" w:rsidTr="009C1E9A">
      <w:trPr>
        <w:cantSplit/>
      </w:trPr>
      <w:tc>
        <w:tcPr>
          <w:tcW w:w="0" w:type="pct"/>
        </w:tcPr>
        <w:p w:rsidR="00EC379B" w:rsidRDefault="00B923C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923C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26612</w:t>
          </w:r>
        </w:p>
      </w:tc>
      <w:tc>
        <w:tcPr>
          <w:tcW w:w="2453" w:type="pct"/>
        </w:tcPr>
        <w:p w:rsidR="00EC379B" w:rsidRDefault="00B923C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19.103.238</w:t>
          </w:r>
          <w:r>
            <w:fldChar w:fldCharType="end"/>
          </w:r>
        </w:p>
      </w:tc>
    </w:tr>
    <w:tr w:rsidR="00D11376" w:rsidTr="009C1E9A">
      <w:trPr>
        <w:cantSplit/>
      </w:trPr>
      <w:tc>
        <w:tcPr>
          <w:tcW w:w="0" w:type="pct"/>
        </w:tcPr>
        <w:p w:rsidR="00EC379B" w:rsidRDefault="00B923C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923C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24940</w:t>
          </w:r>
        </w:p>
      </w:tc>
      <w:tc>
        <w:tcPr>
          <w:tcW w:w="2453" w:type="pct"/>
        </w:tcPr>
        <w:p w:rsidR="00EC379B" w:rsidRDefault="00B923CA" w:rsidP="006D504F">
          <w:pPr>
            <w:pStyle w:val="Footer"/>
            <w:rPr>
              <w:rStyle w:val="PageNumber"/>
            </w:rPr>
          </w:pPr>
        </w:p>
        <w:p w:rsidR="00EC379B" w:rsidRDefault="00B923C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1137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923C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B923C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923C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92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923CA">
      <w:r>
        <w:separator/>
      </w:r>
    </w:p>
  </w:footnote>
  <w:footnote w:type="continuationSeparator" w:id="0">
    <w:p w:rsidR="00000000" w:rsidRDefault="00B92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923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923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923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562B"/>
    <w:multiLevelType w:val="hybridMultilevel"/>
    <w:tmpl w:val="E820ACA0"/>
    <w:lvl w:ilvl="0" w:tplc="0CC42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F60F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B6EB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1EC9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26E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BAA5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EAC6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1695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D04B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95451"/>
    <w:multiLevelType w:val="hybridMultilevel"/>
    <w:tmpl w:val="EC70481E"/>
    <w:lvl w:ilvl="0" w:tplc="999A451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1A4A66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5C0E04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B890FE8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C03AE4B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B47C9E7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82962E2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642E08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93A068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8FA5641"/>
    <w:multiLevelType w:val="hybridMultilevel"/>
    <w:tmpl w:val="99049CD0"/>
    <w:lvl w:ilvl="0" w:tplc="39E8C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B8A9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A26D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A22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CE6F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0012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F467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7059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280A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55768"/>
    <w:multiLevelType w:val="hybridMultilevel"/>
    <w:tmpl w:val="FDD4461C"/>
    <w:lvl w:ilvl="0" w:tplc="81C60E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E4AE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7CB1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CED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F2CE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5CF0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E03A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008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5C06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76"/>
    <w:rsid w:val="00B923CA"/>
    <w:rsid w:val="00D1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6D2525-6515-4885-96C7-EB0F871F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073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07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739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7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7393"/>
    <w:rPr>
      <w:b/>
      <w:bCs/>
    </w:rPr>
  </w:style>
  <w:style w:type="paragraph" w:styleId="ListParagraph">
    <w:name w:val="List Paragraph"/>
    <w:basedOn w:val="Normal"/>
    <w:uiPriority w:val="34"/>
    <w:qFormat/>
    <w:rsid w:val="009B406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2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2BD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944</Words>
  <Characters>5384</Characters>
  <Application>Microsoft Office Word</Application>
  <DocSecurity>4</DocSecurity>
  <Lines>112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HB00669 (Committee Report (Substituted))</vt:lpstr>
    </vt:vector>
  </TitlesOfParts>
  <Company>State of Texas</Company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26612</dc:subject>
  <dc:creator>State of Texas</dc:creator>
  <dc:description>HB 669 by King, Ken-(H)State Affairs (Substitute Document Number: 86R 24940)</dc:description>
  <cp:lastModifiedBy>Erin Conway</cp:lastModifiedBy>
  <cp:revision>2</cp:revision>
  <cp:lastPrinted>2003-11-26T17:21:00Z</cp:lastPrinted>
  <dcterms:created xsi:type="dcterms:W3CDTF">2019-04-16T01:58:00Z</dcterms:created>
  <dcterms:modified xsi:type="dcterms:W3CDTF">2019-04-16T01:58:00Z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19.103.238</vt:lpwstr>
  </property>
</Properties>
</file>