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7001F" w:rsidTr="00345119">
        <w:tc>
          <w:tcPr>
            <w:tcW w:w="9576" w:type="dxa"/>
            <w:noWrap/>
          </w:tcPr>
          <w:p w:rsidR="008423E4" w:rsidRPr="0022177D" w:rsidRDefault="00C23A5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23A5D" w:rsidP="008423E4">
      <w:pPr>
        <w:jc w:val="center"/>
      </w:pPr>
    </w:p>
    <w:p w:rsidR="008423E4" w:rsidRPr="00B31F0E" w:rsidRDefault="00C23A5D" w:rsidP="008423E4"/>
    <w:p w:rsidR="008423E4" w:rsidRPr="00742794" w:rsidRDefault="00C23A5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7001F" w:rsidTr="00345119">
        <w:tc>
          <w:tcPr>
            <w:tcW w:w="9576" w:type="dxa"/>
          </w:tcPr>
          <w:p w:rsidR="008423E4" w:rsidRPr="00861995" w:rsidRDefault="00C23A5D" w:rsidP="00345119">
            <w:pPr>
              <w:jc w:val="right"/>
            </w:pPr>
            <w:r>
              <w:t>C.S.H.B. 684</w:t>
            </w:r>
          </w:p>
        </w:tc>
      </w:tr>
      <w:tr w:rsidR="0087001F" w:rsidTr="00345119">
        <w:tc>
          <w:tcPr>
            <w:tcW w:w="9576" w:type="dxa"/>
          </w:tcPr>
          <w:p w:rsidR="008423E4" w:rsidRPr="00861995" w:rsidRDefault="00C23A5D" w:rsidP="00474EF2">
            <w:pPr>
              <w:jc w:val="right"/>
            </w:pPr>
            <w:r>
              <w:t xml:space="preserve">By: </w:t>
            </w:r>
            <w:r>
              <w:t>Clardy</w:t>
            </w:r>
          </w:p>
        </w:tc>
      </w:tr>
      <w:tr w:rsidR="0087001F" w:rsidTr="00345119">
        <w:tc>
          <w:tcPr>
            <w:tcW w:w="9576" w:type="dxa"/>
          </w:tcPr>
          <w:p w:rsidR="008423E4" w:rsidRPr="00861995" w:rsidRDefault="00C23A5D" w:rsidP="00345119">
            <w:pPr>
              <w:jc w:val="right"/>
            </w:pPr>
            <w:r>
              <w:t>Public Education</w:t>
            </w:r>
          </w:p>
        </w:tc>
      </w:tr>
      <w:tr w:rsidR="0087001F" w:rsidTr="00345119">
        <w:tc>
          <w:tcPr>
            <w:tcW w:w="9576" w:type="dxa"/>
          </w:tcPr>
          <w:p w:rsidR="008423E4" w:rsidRDefault="00C23A5D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C23A5D" w:rsidP="008423E4">
      <w:pPr>
        <w:tabs>
          <w:tab w:val="right" w:pos="9360"/>
        </w:tabs>
      </w:pPr>
    </w:p>
    <w:p w:rsidR="008423E4" w:rsidRDefault="00C23A5D" w:rsidP="008423E4"/>
    <w:p w:rsidR="008423E4" w:rsidRDefault="00C23A5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7001F" w:rsidTr="00345119">
        <w:tc>
          <w:tcPr>
            <w:tcW w:w="9576" w:type="dxa"/>
          </w:tcPr>
          <w:p w:rsidR="008423E4" w:rsidRPr="00A8133F" w:rsidRDefault="00C23A5D" w:rsidP="008C41F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23A5D" w:rsidP="008C41F7"/>
          <w:p w:rsidR="008423E4" w:rsidRDefault="00C23A5D" w:rsidP="008C41F7">
            <w:pPr>
              <w:pStyle w:val="Header"/>
              <w:jc w:val="both"/>
            </w:pPr>
            <w:r>
              <w:t xml:space="preserve">There are concerns that the lack of focused training for school </w:t>
            </w:r>
            <w:r>
              <w:t xml:space="preserve">personnel </w:t>
            </w:r>
            <w:r>
              <w:t xml:space="preserve">in seizure recognition and related first aid training </w:t>
            </w:r>
            <w:r>
              <w:t xml:space="preserve">puts students at risk, particularly those </w:t>
            </w:r>
            <w:r>
              <w:t xml:space="preserve">students </w:t>
            </w:r>
            <w:r>
              <w:t xml:space="preserve">who have </w:t>
            </w:r>
            <w:r>
              <w:t>epilep</w:t>
            </w:r>
            <w:r>
              <w:t xml:space="preserve">sy and </w:t>
            </w:r>
            <w:r>
              <w:t>seizure</w:t>
            </w:r>
            <w:r>
              <w:t xml:space="preserve"> disorder</w:t>
            </w:r>
            <w:r>
              <w:t>s</w:t>
            </w:r>
            <w:r>
              <w:t>.</w:t>
            </w:r>
            <w:r>
              <w:t xml:space="preserve"> </w:t>
            </w:r>
            <w:r>
              <w:t>C.S.</w:t>
            </w:r>
            <w:r>
              <w:t xml:space="preserve">H.B. 684 </w:t>
            </w:r>
            <w:r>
              <w:t xml:space="preserve">seeks to </w:t>
            </w:r>
            <w:r>
              <w:t>reduce</w:t>
            </w:r>
            <w:r>
              <w:t xml:space="preserve"> this </w:t>
            </w:r>
            <w:r>
              <w:t xml:space="preserve">risk </w:t>
            </w:r>
            <w:r>
              <w:t xml:space="preserve">by </w:t>
            </w:r>
            <w:r>
              <w:t>providing for the development of a seizure action plan for certain students enrolled in public schools and establishing tr</w:t>
            </w:r>
            <w:r>
              <w:t>aining requirements for certain school personnel regarding seizure disorders</w:t>
            </w:r>
            <w:r>
              <w:t>.</w:t>
            </w:r>
            <w:r>
              <w:t xml:space="preserve"> </w:t>
            </w:r>
          </w:p>
          <w:p w:rsidR="008423E4" w:rsidRPr="00E26B13" w:rsidRDefault="00C23A5D" w:rsidP="008C41F7">
            <w:pPr>
              <w:rPr>
                <w:b/>
              </w:rPr>
            </w:pPr>
          </w:p>
        </w:tc>
      </w:tr>
      <w:tr w:rsidR="0087001F" w:rsidTr="00345119">
        <w:tc>
          <w:tcPr>
            <w:tcW w:w="9576" w:type="dxa"/>
          </w:tcPr>
          <w:p w:rsidR="0017725B" w:rsidRDefault="00C23A5D" w:rsidP="008C41F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23A5D" w:rsidP="008C41F7">
            <w:pPr>
              <w:rPr>
                <w:b/>
                <w:u w:val="single"/>
              </w:rPr>
            </w:pPr>
          </w:p>
          <w:p w:rsidR="007366B0" w:rsidRPr="007366B0" w:rsidRDefault="00C23A5D" w:rsidP="008C41F7">
            <w:pPr>
              <w:jc w:val="both"/>
            </w:pPr>
            <w:r>
              <w:t>It is the committee's opinion that this bill does not expressly create a criminal offense, increase the punishment for an existing criminal offense or</w:t>
            </w:r>
            <w:r>
              <w:t xml:space="preserve"> category of offenses, or change the eligibility of a person for community supervision, parole, or mandatory supervision.</w:t>
            </w:r>
          </w:p>
          <w:p w:rsidR="0017725B" w:rsidRPr="0017725B" w:rsidRDefault="00C23A5D" w:rsidP="008C41F7">
            <w:pPr>
              <w:rPr>
                <w:b/>
                <w:u w:val="single"/>
              </w:rPr>
            </w:pPr>
          </w:p>
        </w:tc>
      </w:tr>
      <w:tr w:rsidR="0087001F" w:rsidTr="00345119">
        <w:tc>
          <w:tcPr>
            <w:tcW w:w="9576" w:type="dxa"/>
          </w:tcPr>
          <w:p w:rsidR="008423E4" w:rsidRPr="00A8133F" w:rsidRDefault="00C23A5D" w:rsidP="008C41F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23A5D" w:rsidP="008C41F7"/>
          <w:p w:rsidR="007366B0" w:rsidRDefault="00C23A5D" w:rsidP="008C41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Texas Education Agency in SECTION </w:t>
            </w:r>
            <w:r>
              <w:t>2</w:t>
            </w:r>
            <w:r>
              <w:t xml:space="preserve"> of this bill.</w:t>
            </w:r>
          </w:p>
          <w:p w:rsidR="008423E4" w:rsidRPr="00E21FDC" w:rsidRDefault="00C23A5D" w:rsidP="008C41F7">
            <w:pPr>
              <w:rPr>
                <w:b/>
              </w:rPr>
            </w:pPr>
          </w:p>
        </w:tc>
      </w:tr>
      <w:tr w:rsidR="0087001F" w:rsidTr="00345119">
        <w:tc>
          <w:tcPr>
            <w:tcW w:w="9576" w:type="dxa"/>
          </w:tcPr>
          <w:p w:rsidR="008423E4" w:rsidRPr="00A8133F" w:rsidRDefault="00C23A5D" w:rsidP="008C41F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23A5D" w:rsidP="008C41F7"/>
          <w:p w:rsidR="00ED4A27" w:rsidRDefault="00C23A5D" w:rsidP="008C41F7">
            <w:pPr>
              <w:pStyle w:val="Header"/>
              <w:jc w:val="both"/>
            </w:pPr>
            <w:r w:rsidRPr="00314EB2">
              <w:t>C.S.</w:t>
            </w:r>
            <w:r>
              <w:t xml:space="preserve">H.B. 684 amends the Education Code to </w:t>
            </w:r>
            <w:r>
              <w:t xml:space="preserve">require each public school </w:t>
            </w:r>
            <w:r w:rsidRPr="006F0713">
              <w:t>district and open-</w:t>
            </w:r>
            <w:r>
              <w:t>enrollment charter sch</w:t>
            </w:r>
            <w:r>
              <w:t xml:space="preserve">ool to </w:t>
            </w:r>
            <w:r w:rsidRPr="006F0713">
              <w:t xml:space="preserve">require any school employee who may have responsibility for the supervision or care of a student with epilepsy or </w:t>
            </w:r>
            <w:r>
              <w:t>a seizure disorder to complete a</w:t>
            </w:r>
            <w:r w:rsidRPr="006F0713">
              <w:t xml:space="preserve"> seizure training program</w:t>
            </w:r>
            <w:r>
              <w:t xml:space="preserve"> approved by the Texas Education Agency (TEA)</w:t>
            </w:r>
            <w:r>
              <w:t xml:space="preserve"> </w:t>
            </w:r>
            <w:r w:rsidRPr="00C42F46">
              <w:t>that includes instruction regard</w:t>
            </w:r>
            <w:r w:rsidRPr="00C42F46">
              <w:t>ing managing students with seizures and includes information about seizure recognition, related first aid, and the administration of seizure rescue medications and medications prescribed to treat seizure disorder symptoms</w:t>
            </w:r>
            <w:r>
              <w:t>. The bill authorizes a</w:t>
            </w:r>
            <w:r w:rsidRPr="00731CB0">
              <w:t xml:space="preserve"> school empl</w:t>
            </w:r>
            <w:r w:rsidRPr="00731CB0">
              <w:t xml:space="preserve">oyee who has completed the program </w:t>
            </w:r>
            <w:r>
              <w:t>to</w:t>
            </w:r>
            <w:r w:rsidRPr="00731CB0">
              <w:t xml:space="preserve"> administer to a student covered by a seizure action plan developed</w:t>
            </w:r>
            <w:r>
              <w:t xml:space="preserve"> under the bill's provisions</w:t>
            </w:r>
            <w:r w:rsidRPr="00731CB0">
              <w:t xml:space="preserve"> a seizure rescue medication or medication prescribed to treat seizure disorder symptoms or</w:t>
            </w:r>
            <w:r>
              <w:t xml:space="preserve"> to</w:t>
            </w:r>
            <w:r w:rsidRPr="00731CB0">
              <w:t xml:space="preserve"> assist the student with self-</w:t>
            </w:r>
            <w:r w:rsidRPr="00731CB0">
              <w:t xml:space="preserve">administration of the medication, as provided under the plan. </w:t>
            </w:r>
            <w:r>
              <w:t xml:space="preserve">The bill authorizes TEA to approve </w:t>
            </w:r>
            <w:r w:rsidRPr="00E46359">
              <w:t>a</w:t>
            </w:r>
            <w:r>
              <w:t xml:space="preserve"> </w:t>
            </w:r>
            <w:r>
              <w:t xml:space="preserve">seizure training course for school personnel </w:t>
            </w:r>
            <w:r w:rsidRPr="00E46359">
              <w:t>provided by a nonprofit national foundation</w:t>
            </w:r>
            <w:r>
              <w:t xml:space="preserve"> that supports the welfare of individuals with epilepsy and seizure d</w:t>
            </w:r>
            <w:r>
              <w:t>isorders,</w:t>
            </w:r>
            <w:r w:rsidRPr="00E46359">
              <w:t xml:space="preserve"> </w:t>
            </w:r>
            <w:r>
              <w:t>such as the Epilepsy Foundation of America</w:t>
            </w:r>
            <w:r>
              <w:t>,</w:t>
            </w:r>
            <w:r>
              <w:t xml:space="preserve"> and requires such a TEA-</w:t>
            </w:r>
            <w:r w:rsidRPr="005F15CC">
              <w:t xml:space="preserve">approved program </w:t>
            </w:r>
            <w:r w:rsidRPr="00E550DF">
              <w:t xml:space="preserve">provided </w:t>
            </w:r>
            <w:r w:rsidRPr="00E550DF">
              <w:t>on portable media to</w:t>
            </w:r>
            <w:r>
              <w:t xml:space="preserve"> be</w:t>
            </w:r>
            <w:r>
              <w:t xml:space="preserve"> provided by the nonprofit entity</w:t>
            </w:r>
            <w:r>
              <w:t xml:space="preserve"> </w:t>
            </w:r>
            <w:r w:rsidRPr="005F15CC">
              <w:t>free of charge</w:t>
            </w:r>
            <w:r>
              <w:t xml:space="preserve">. </w:t>
            </w:r>
          </w:p>
          <w:p w:rsidR="00ED4A27" w:rsidRDefault="00C23A5D" w:rsidP="008C41F7">
            <w:pPr>
              <w:pStyle w:val="Header"/>
              <w:jc w:val="both"/>
            </w:pPr>
          </w:p>
          <w:p w:rsidR="00BA6FEB" w:rsidRDefault="00C23A5D" w:rsidP="008C41F7">
            <w:pPr>
              <w:pStyle w:val="Header"/>
              <w:jc w:val="both"/>
            </w:pPr>
            <w:r>
              <w:t xml:space="preserve">C.S.H.B. 684 </w:t>
            </w:r>
            <w:r>
              <w:t xml:space="preserve">authorizes a parent of or a person standing in parental relation to a student with epilepsy or a seizure disorder for whom a plan has been created </w:t>
            </w:r>
            <w:r w:rsidRPr="00361D58">
              <w:t>under the federal Rehabilitation Act of 1973</w:t>
            </w:r>
            <w:r>
              <w:t xml:space="preserve"> to provide to the district or charter school at which the studen</w:t>
            </w:r>
            <w:r>
              <w:t xml:space="preserve">t is enrolled written authorization for the development of </w:t>
            </w:r>
            <w:r>
              <w:t>a</w:t>
            </w:r>
            <w:r>
              <w:t xml:space="preserve"> seizure action plan. The bill requires the written authorization to be provided on a form adopted by TEA </w:t>
            </w:r>
            <w:r w:rsidRPr="00361D58">
              <w:t xml:space="preserve">and to contain </w:t>
            </w:r>
            <w:r>
              <w:t>specified</w:t>
            </w:r>
            <w:r w:rsidRPr="00361D58">
              <w:t xml:space="preserve"> information</w:t>
            </w:r>
            <w:r>
              <w:t xml:space="preserve"> </w:t>
            </w:r>
            <w:r w:rsidRPr="00E550DF">
              <w:t>and</w:t>
            </w:r>
            <w:r w:rsidRPr="00E550DF">
              <w:t xml:space="preserve"> requires </w:t>
            </w:r>
            <w:r w:rsidRPr="00E550DF">
              <w:t>t</w:t>
            </w:r>
            <w:r>
              <w:t>he</w:t>
            </w:r>
            <w:r>
              <w:t xml:space="preserve"> district or charter school to develo</w:t>
            </w:r>
            <w:r>
              <w:t xml:space="preserve">p, in collaboration with the person providing the authorization, </w:t>
            </w:r>
            <w:r>
              <w:t xml:space="preserve">a </w:t>
            </w:r>
            <w:r>
              <w:t xml:space="preserve">seizure action </w:t>
            </w:r>
            <w:r>
              <w:t>plan that is consistent with the student's plan</w:t>
            </w:r>
            <w:r>
              <w:t xml:space="preserve"> created under </w:t>
            </w:r>
            <w:r w:rsidRPr="00361D58">
              <w:t>the federal Rehabilitation Act of 1973</w:t>
            </w:r>
            <w:r>
              <w:t>. The bill authorizes the</w:t>
            </w:r>
            <w:r>
              <w:t xml:space="preserve"> seizure action</w:t>
            </w:r>
            <w:r>
              <w:t xml:space="preserve"> plan to provide for a school empl</w:t>
            </w:r>
            <w:r>
              <w:t xml:space="preserve">oyee who has completed </w:t>
            </w:r>
            <w:r w:rsidRPr="00361D58">
              <w:t xml:space="preserve">the </w:t>
            </w:r>
            <w:r w:rsidRPr="00361D58">
              <w:t xml:space="preserve">TEA-approved </w:t>
            </w:r>
            <w:r w:rsidRPr="009566D6">
              <w:t xml:space="preserve">seizure </w:t>
            </w:r>
            <w:r w:rsidRPr="009566D6">
              <w:t>training program</w:t>
            </w:r>
            <w:r>
              <w:t xml:space="preserve"> to administer or assist the student with self-administration of a medication identified in the written authorization and requires </w:t>
            </w:r>
            <w:r>
              <w:t>the</w:t>
            </w:r>
            <w:r>
              <w:t xml:space="preserve"> plan to be renewed at the beginning of each school year.</w:t>
            </w:r>
            <w:r>
              <w:t xml:space="preserve"> </w:t>
            </w:r>
            <w:r>
              <w:t xml:space="preserve">The bill </w:t>
            </w:r>
            <w:r>
              <w:t xml:space="preserve">provides for the required maintenance and distribution </w:t>
            </w:r>
            <w:r>
              <w:t>of the plan</w:t>
            </w:r>
            <w:r>
              <w:t xml:space="preserve"> by the district or charter school</w:t>
            </w:r>
            <w:r>
              <w:t>.</w:t>
            </w:r>
            <w:r>
              <w:t xml:space="preserve"> The bill requires </w:t>
            </w:r>
            <w:r>
              <w:t>a</w:t>
            </w:r>
            <w:r>
              <w:t xml:space="preserve"> </w:t>
            </w:r>
            <w:r>
              <w:t xml:space="preserve">parent of or person standing in parental relation </w:t>
            </w:r>
            <w:r>
              <w:t xml:space="preserve">to </w:t>
            </w:r>
            <w:r>
              <w:t xml:space="preserve">a student for whom a seizure action plan is developed to </w:t>
            </w:r>
            <w:r>
              <w:t xml:space="preserve">provide </w:t>
            </w:r>
            <w:r>
              <w:t>the</w:t>
            </w:r>
            <w:r>
              <w:t xml:space="preserve"> medication identified in the written authorization</w:t>
            </w:r>
            <w:r>
              <w:t xml:space="preserve"> </w:t>
            </w:r>
            <w:r>
              <w:t>to t</w:t>
            </w:r>
            <w:r>
              <w:t xml:space="preserve">he district or </w:t>
            </w:r>
            <w:r>
              <w:t>charter school in an unopened, sealed package that is clearly labeled by the dispensing pharmacy.</w:t>
            </w:r>
            <w:r>
              <w:t xml:space="preserve"> </w:t>
            </w:r>
          </w:p>
          <w:p w:rsidR="00BA6FEB" w:rsidRDefault="00C23A5D" w:rsidP="008C41F7">
            <w:pPr>
              <w:pStyle w:val="Header"/>
              <w:jc w:val="both"/>
            </w:pPr>
          </w:p>
          <w:p w:rsidR="008423E4" w:rsidRDefault="00C23A5D" w:rsidP="008C41F7">
            <w:pPr>
              <w:pStyle w:val="Header"/>
              <w:jc w:val="both"/>
            </w:pPr>
            <w:r>
              <w:t>C.S.H.B. 684</w:t>
            </w:r>
            <w:r>
              <w:t xml:space="preserve"> establishes that </w:t>
            </w:r>
            <w:r w:rsidRPr="00E550DF">
              <w:t>t</w:t>
            </w:r>
            <w:r w:rsidRPr="00E550DF">
              <w:t xml:space="preserve">he immunity from liability provided </w:t>
            </w:r>
            <w:r>
              <w:t xml:space="preserve">to a professional </w:t>
            </w:r>
            <w:r>
              <w:t>employee of a school district</w:t>
            </w:r>
            <w:r>
              <w:t xml:space="preserve"> </w:t>
            </w:r>
            <w:r>
              <w:t xml:space="preserve">applies to an action or failure to act by a school employee in administering a medication, assisting with self-administration, or otherwise providing for the care of a student under </w:t>
            </w:r>
            <w:r>
              <w:t>a seizure action</w:t>
            </w:r>
            <w:r>
              <w:t xml:space="preserve"> plan.</w:t>
            </w:r>
            <w:r>
              <w:t xml:space="preserve"> </w:t>
            </w:r>
            <w:r w:rsidRPr="00E46359">
              <w:t xml:space="preserve">The </w:t>
            </w:r>
            <w:r>
              <w:t>bill requires TEA</w:t>
            </w:r>
            <w:r>
              <w:t xml:space="preserve"> to </w:t>
            </w:r>
            <w:r w:rsidRPr="00E46359">
              <w:t>adopt rules as necessary to administer th</w:t>
            </w:r>
            <w:r>
              <w:t>e bill's provisions</w:t>
            </w:r>
            <w:r>
              <w:t xml:space="preserve">. </w:t>
            </w:r>
            <w:r>
              <w:t xml:space="preserve">The bill's provisions apply beginning with the </w:t>
            </w:r>
            <w:r>
              <w:t>2020-2021</w:t>
            </w:r>
            <w:r>
              <w:t xml:space="preserve"> school year.</w:t>
            </w:r>
          </w:p>
          <w:p w:rsidR="009F7184" w:rsidRPr="00835628" w:rsidRDefault="00C23A5D" w:rsidP="008C41F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87001F" w:rsidTr="00345119">
        <w:tc>
          <w:tcPr>
            <w:tcW w:w="9576" w:type="dxa"/>
          </w:tcPr>
          <w:p w:rsidR="008423E4" w:rsidRPr="00A8133F" w:rsidRDefault="00C23A5D" w:rsidP="008C41F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23A5D" w:rsidP="008C41F7"/>
          <w:p w:rsidR="008423E4" w:rsidRPr="003624F2" w:rsidRDefault="00C23A5D" w:rsidP="008C41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C23A5D" w:rsidP="008C41F7">
            <w:pPr>
              <w:rPr>
                <w:b/>
              </w:rPr>
            </w:pPr>
          </w:p>
        </w:tc>
      </w:tr>
      <w:tr w:rsidR="0087001F" w:rsidTr="00345119">
        <w:tc>
          <w:tcPr>
            <w:tcW w:w="9576" w:type="dxa"/>
          </w:tcPr>
          <w:p w:rsidR="00474EF2" w:rsidRDefault="00C23A5D" w:rsidP="008C41F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</w:t>
            </w:r>
            <w:r>
              <w:rPr>
                <w:b/>
                <w:u w:val="single"/>
              </w:rPr>
              <w:t>ORIGINAL AND SUBSTITUTE</w:t>
            </w:r>
          </w:p>
          <w:p w:rsidR="004723B1" w:rsidRDefault="00C23A5D" w:rsidP="008C41F7">
            <w:pPr>
              <w:jc w:val="both"/>
            </w:pPr>
          </w:p>
          <w:p w:rsidR="004723B1" w:rsidRDefault="00C23A5D" w:rsidP="008C41F7">
            <w:pPr>
              <w:jc w:val="both"/>
            </w:pPr>
            <w:r>
              <w:t>While C.S.H.B. 684 may differ from the original in minor or nonsubstantive ways, the following summarizes the substantial differences between the introduced and committee substitute versions of the bill.</w:t>
            </w:r>
          </w:p>
          <w:p w:rsidR="00600B51" w:rsidRDefault="00C23A5D" w:rsidP="008C41F7">
            <w:pPr>
              <w:jc w:val="both"/>
            </w:pPr>
          </w:p>
          <w:p w:rsidR="00A53B85" w:rsidRDefault="00C23A5D" w:rsidP="008C41F7">
            <w:pPr>
              <w:jc w:val="both"/>
            </w:pPr>
            <w:r>
              <w:t xml:space="preserve">The substitute </w:t>
            </w:r>
            <w:r>
              <w:t>changes the</w:t>
            </w:r>
            <w:r>
              <w:t xml:space="preserve"> </w:t>
            </w:r>
            <w:r>
              <w:t xml:space="preserve">seizure </w:t>
            </w:r>
            <w:r w:rsidRPr="003F634F">
              <w:t>training requirements for school personnel</w:t>
            </w:r>
            <w:r>
              <w:t xml:space="preserve"> as follows</w:t>
            </w:r>
            <w:r>
              <w:t>:</w:t>
            </w:r>
            <w:r>
              <w:t xml:space="preserve"> </w:t>
            </w:r>
          </w:p>
          <w:p w:rsidR="00C42F46" w:rsidRDefault="00C23A5D" w:rsidP="008C41F7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</w:pPr>
            <w:r>
              <w:t>does not include the</w:t>
            </w:r>
            <w:r>
              <w:t xml:space="preserve"> requirement for a school nurse to complete </w:t>
            </w:r>
            <w:r>
              <w:t xml:space="preserve">a </w:t>
            </w:r>
            <w:r>
              <w:t>TEA</w:t>
            </w:r>
            <w:r>
              <w:t>-</w:t>
            </w:r>
            <w:r>
              <w:t xml:space="preserve">approved </w:t>
            </w:r>
            <w:r w:rsidRPr="00A222CD">
              <w:t>online course of instruction for school nurses regarding managing students with seizures</w:t>
            </w:r>
            <w:r>
              <w:t xml:space="preserve"> and</w:t>
            </w:r>
            <w:r>
              <w:t xml:space="preserve"> the requirement for a district employee, other than a school nurse, whose duties at the school include regular contact with students to complete a TEA-approved online course of instruction regarding awareness of students with seizures;</w:t>
            </w:r>
          </w:p>
          <w:p w:rsidR="008A2E05" w:rsidRDefault="00C23A5D" w:rsidP="008C41F7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</w:pPr>
            <w:r>
              <w:t>includes requiremen</w:t>
            </w:r>
            <w:r>
              <w:t>ts for each district and charter school to require any school employee who may have responsibility for the supervision or care of a student with epilepsy or a seizure disorder to complete a seizure training program;</w:t>
            </w:r>
            <w:r>
              <w:t xml:space="preserve"> </w:t>
            </w:r>
          </w:p>
          <w:p w:rsidR="00590AD2" w:rsidRDefault="00C23A5D" w:rsidP="008C41F7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</w:pPr>
            <w:r>
              <w:t xml:space="preserve">expands the content of the training to </w:t>
            </w:r>
            <w:r>
              <w:t xml:space="preserve">include information about the administration of seizure rescue medications and medications prescribed to treat seizure disorder </w:t>
            </w:r>
            <w:r>
              <w:t>symptoms</w:t>
            </w:r>
            <w:r>
              <w:t>;</w:t>
            </w:r>
          </w:p>
          <w:p w:rsidR="00A53B85" w:rsidRDefault="00C23A5D" w:rsidP="008C41F7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</w:pPr>
            <w:r w:rsidRPr="00021824">
              <w:t>includes a requirement for a</w:t>
            </w:r>
            <w:r>
              <w:t xml:space="preserve"> </w:t>
            </w:r>
            <w:r w:rsidRPr="00021824">
              <w:t>seizure training program provided on portable media to be free of charge</w:t>
            </w:r>
            <w:r>
              <w:t>; and</w:t>
            </w:r>
          </w:p>
          <w:p w:rsidR="00590AD2" w:rsidRDefault="00C23A5D" w:rsidP="008C41F7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</w:pPr>
            <w:r>
              <w:t>does not in</w:t>
            </w:r>
            <w:r>
              <w:t>clude a deadline for the approval of training courses</w:t>
            </w:r>
            <w:r>
              <w:t>.</w:t>
            </w:r>
          </w:p>
          <w:p w:rsidR="00535693" w:rsidRDefault="00C23A5D" w:rsidP="008C41F7">
            <w:pPr>
              <w:jc w:val="both"/>
            </w:pPr>
          </w:p>
          <w:p w:rsidR="00015D50" w:rsidRDefault="00C23A5D" w:rsidP="008C41F7">
            <w:pPr>
              <w:jc w:val="both"/>
            </w:pPr>
            <w:r>
              <w:t xml:space="preserve">The substitute </w:t>
            </w:r>
            <w:r>
              <w:t>includes</w:t>
            </w:r>
            <w:r>
              <w:t xml:space="preserve"> the following</w:t>
            </w:r>
            <w:r>
              <w:t>:</w:t>
            </w:r>
          </w:p>
          <w:p w:rsidR="0071558B" w:rsidRDefault="00C23A5D" w:rsidP="008C41F7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provisions relating to the development, maintenance, and distribution of a seizure action plan for certain </w:t>
            </w:r>
            <w:r>
              <w:t>student</w:t>
            </w:r>
            <w:r>
              <w:t>s</w:t>
            </w:r>
            <w:r>
              <w:t xml:space="preserve"> with </w:t>
            </w:r>
            <w:r w:rsidRPr="00361D58">
              <w:t>epilepsy or a seizure disorder</w:t>
            </w:r>
            <w:r>
              <w:t xml:space="preserve">; </w:t>
            </w:r>
          </w:p>
          <w:p w:rsidR="00BA404D" w:rsidRDefault="00C23A5D" w:rsidP="008C41F7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an auth</w:t>
            </w:r>
            <w:r>
              <w:t>orization for an</w:t>
            </w:r>
            <w:r w:rsidRPr="00015D50">
              <w:t xml:space="preserve"> employee</w:t>
            </w:r>
            <w:r>
              <w:t xml:space="preserve"> who has completed the seizure training program</w:t>
            </w:r>
            <w:r w:rsidRPr="00015D50">
              <w:t xml:space="preserve"> </w:t>
            </w:r>
            <w:r>
              <w:t xml:space="preserve">to administer to </w:t>
            </w:r>
            <w:r>
              <w:t>a student covered by a seizure action plan</w:t>
            </w:r>
            <w:r>
              <w:t xml:space="preserve"> a </w:t>
            </w:r>
            <w:r w:rsidRPr="00015D50">
              <w:t xml:space="preserve">seizure rescue medication or medication prescribed to </w:t>
            </w:r>
            <w:r>
              <w:t>treat seizure disorder symptoms</w:t>
            </w:r>
            <w:r w:rsidRPr="00015D50">
              <w:t xml:space="preserve"> or </w:t>
            </w:r>
            <w:r>
              <w:t xml:space="preserve">to </w:t>
            </w:r>
            <w:r w:rsidRPr="00015D50">
              <w:t xml:space="preserve">assist </w:t>
            </w:r>
            <w:r>
              <w:t>the</w:t>
            </w:r>
            <w:r w:rsidRPr="00015D50">
              <w:t xml:space="preserve"> student with self-</w:t>
            </w:r>
            <w:r w:rsidRPr="00015D50">
              <w:t>ad</w:t>
            </w:r>
            <w:r>
              <w:t>ministration of the medication;</w:t>
            </w:r>
            <w:r>
              <w:t xml:space="preserve"> </w:t>
            </w:r>
          </w:p>
          <w:p w:rsidR="00015D50" w:rsidRDefault="00C23A5D" w:rsidP="008C41F7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a </w:t>
            </w:r>
            <w:r>
              <w:t xml:space="preserve">requirement </w:t>
            </w:r>
            <w:r>
              <w:t>for medication provided for an applicable student to be in an unopened, sealed package that is clearly labeled by the dispensing pharmacy</w:t>
            </w:r>
            <w:r>
              <w:t>;</w:t>
            </w:r>
            <w:r>
              <w:t xml:space="preserve"> and</w:t>
            </w:r>
          </w:p>
          <w:p w:rsidR="00600B51" w:rsidRDefault="00C23A5D" w:rsidP="008C41F7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a provision establishing </w:t>
            </w:r>
            <w:r w:rsidRPr="00600B51">
              <w:t>immunity from liability</w:t>
            </w:r>
            <w:r>
              <w:t xml:space="preserve"> for certain actions or failures to act relating to care of a student under a seizure action plan</w:t>
            </w:r>
            <w:r w:rsidRPr="00600B51">
              <w:t>.</w:t>
            </w:r>
          </w:p>
          <w:p w:rsidR="00BA6FEB" w:rsidRDefault="00C23A5D" w:rsidP="008C41F7">
            <w:pPr>
              <w:ind w:left="360"/>
              <w:jc w:val="both"/>
            </w:pPr>
          </w:p>
          <w:p w:rsidR="00015D50" w:rsidRPr="004723B1" w:rsidRDefault="00C23A5D" w:rsidP="008C41F7">
            <w:pPr>
              <w:jc w:val="both"/>
            </w:pPr>
            <w:r>
              <w:t xml:space="preserve">The substitute changes the </w:t>
            </w:r>
            <w:r>
              <w:t xml:space="preserve">school year in which the bill's </w:t>
            </w:r>
            <w:r>
              <w:t xml:space="preserve">provisions </w:t>
            </w:r>
            <w:r>
              <w:t>begin</w:t>
            </w:r>
            <w:r>
              <w:t xml:space="preserve"> to apply</w:t>
            </w:r>
            <w:r>
              <w:t xml:space="preserve"> from the 2019-2020 school year to the 2020-2021 school year.</w:t>
            </w:r>
          </w:p>
        </w:tc>
      </w:tr>
    </w:tbl>
    <w:p w:rsidR="004108C3" w:rsidRPr="00B161B1" w:rsidRDefault="00C23A5D" w:rsidP="008423E4">
      <w:pPr>
        <w:rPr>
          <w:sz w:val="10"/>
        </w:rPr>
      </w:pPr>
    </w:p>
    <w:sectPr w:rsidR="004108C3" w:rsidRPr="00B161B1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23A5D">
      <w:r>
        <w:separator/>
      </w:r>
    </w:p>
  </w:endnote>
  <w:endnote w:type="continuationSeparator" w:id="0">
    <w:p w:rsidR="00000000" w:rsidRDefault="00C2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23A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7001F" w:rsidTr="009C1E9A">
      <w:trPr>
        <w:cantSplit/>
      </w:trPr>
      <w:tc>
        <w:tcPr>
          <w:tcW w:w="0" w:type="pct"/>
        </w:tcPr>
        <w:p w:rsidR="00137D90" w:rsidRDefault="00C23A5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23A5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23A5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23A5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23A5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7001F" w:rsidTr="009C1E9A">
      <w:trPr>
        <w:cantSplit/>
      </w:trPr>
      <w:tc>
        <w:tcPr>
          <w:tcW w:w="0" w:type="pct"/>
        </w:tcPr>
        <w:p w:rsidR="00EC379B" w:rsidRDefault="00C23A5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23A5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22683</w:t>
          </w:r>
        </w:p>
      </w:tc>
      <w:tc>
        <w:tcPr>
          <w:tcW w:w="2453" w:type="pct"/>
        </w:tcPr>
        <w:p w:rsidR="00EC379B" w:rsidRDefault="00C23A5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19.87.884</w:t>
          </w:r>
          <w:r>
            <w:fldChar w:fldCharType="end"/>
          </w:r>
        </w:p>
      </w:tc>
    </w:tr>
    <w:tr w:rsidR="0087001F" w:rsidTr="009C1E9A">
      <w:trPr>
        <w:cantSplit/>
      </w:trPr>
      <w:tc>
        <w:tcPr>
          <w:tcW w:w="0" w:type="pct"/>
        </w:tcPr>
        <w:p w:rsidR="00EC379B" w:rsidRDefault="00C23A5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23A5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17786</w:t>
          </w:r>
        </w:p>
      </w:tc>
      <w:tc>
        <w:tcPr>
          <w:tcW w:w="2453" w:type="pct"/>
        </w:tcPr>
        <w:p w:rsidR="00EC379B" w:rsidRDefault="00C23A5D" w:rsidP="006D504F">
          <w:pPr>
            <w:pStyle w:val="Footer"/>
            <w:rPr>
              <w:rStyle w:val="PageNumber"/>
            </w:rPr>
          </w:pPr>
        </w:p>
        <w:p w:rsidR="00EC379B" w:rsidRDefault="00C23A5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7001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23A5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23A5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23A5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23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23A5D">
      <w:r>
        <w:separator/>
      </w:r>
    </w:p>
  </w:footnote>
  <w:footnote w:type="continuationSeparator" w:id="0">
    <w:p w:rsidR="00000000" w:rsidRDefault="00C23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23A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23A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23A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08D5"/>
    <w:multiLevelType w:val="hybridMultilevel"/>
    <w:tmpl w:val="214A545C"/>
    <w:lvl w:ilvl="0" w:tplc="B7AEFF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C64D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8EA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48CD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1C2F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46CE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0472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A870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C2EC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D5B6B"/>
    <w:multiLevelType w:val="hybridMultilevel"/>
    <w:tmpl w:val="A4280710"/>
    <w:lvl w:ilvl="0" w:tplc="D12CFA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361F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86C3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74F5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B02C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4E39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7206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ECC0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7212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23705"/>
    <w:multiLevelType w:val="hybridMultilevel"/>
    <w:tmpl w:val="8D580E1C"/>
    <w:lvl w:ilvl="0" w:tplc="5B0E81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B5ECC90C" w:tentative="1">
      <w:start w:val="1"/>
      <w:numFmt w:val="lowerLetter"/>
      <w:lvlText w:val="%2."/>
      <w:lvlJc w:val="left"/>
      <w:pPr>
        <w:ind w:left="1440" w:hanging="360"/>
      </w:pPr>
    </w:lvl>
    <w:lvl w:ilvl="2" w:tplc="82D81426" w:tentative="1">
      <w:start w:val="1"/>
      <w:numFmt w:val="lowerRoman"/>
      <w:lvlText w:val="%3."/>
      <w:lvlJc w:val="right"/>
      <w:pPr>
        <w:ind w:left="2160" w:hanging="180"/>
      </w:pPr>
    </w:lvl>
    <w:lvl w:ilvl="3" w:tplc="4148BD4C" w:tentative="1">
      <w:start w:val="1"/>
      <w:numFmt w:val="decimal"/>
      <w:lvlText w:val="%4."/>
      <w:lvlJc w:val="left"/>
      <w:pPr>
        <w:ind w:left="2880" w:hanging="360"/>
      </w:pPr>
    </w:lvl>
    <w:lvl w:ilvl="4" w:tplc="9E4C4C1A" w:tentative="1">
      <w:start w:val="1"/>
      <w:numFmt w:val="lowerLetter"/>
      <w:lvlText w:val="%5."/>
      <w:lvlJc w:val="left"/>
      <w:pPr>
        <w:ind w:left="3600" w:hanging="360"/>
      </w:pPr>
    </w:lvl>
    <w:lvl w:ilvl="5" w:tplc="D83E72FE" w:tentative="1">
      <w:start w:val="1"/>
      <w:numFmt w:val="lowerRoman"/>
      <w:lvlText w:val="%6."/>
      <w:lvlJc w:val="right"/>
      <w:pPr>
        <w:ind w:left="4320" w:hanging="180"/>
      </w:pPr>
    </w:lvl>
    <w:lvl w:ilvl="6" w:tplc="E5AA4C3C" w:tentative="1">
      <w:start w:val="1"/>
      <w:numFmt w:val="decimal"/>
      <w:lvlText w:val="%7."/>
      <w:lvlJc w:val="left"/>
      <w:pPr>
        <w:ind w:left="5040" w:hanging="360"/>
      </w:pPr>
    </w:lvl>
    <w:lvl w:ilvl="7" w:tplc="1780D66C" w:tentative="1">
      <w:start w:val="1"/>
      <w:numFmt w:val="lowerLetter"/>
      <w:lvlText w:val="%8."/>
      <w:lvlJc w:val="left"/>
      <w:pPr>
        <w:ind w:left="5760" w:hanging="360"/>
      </w:pPr>
    </w:lvl>
    <w:lvl w:ilvl="8" w:tplc="64BA9A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E1235"/>
    <w:multiLevelType w:val="hybridMultilevel"/>
    <w:tmpl w:val="47665F98"/>
    <w:lvl w:ilvl="0" w:tplc="5BECE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DC27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0673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AC47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A55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EEFB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2494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A6C8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4EAC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F2847"/>
    <w:multiLevelType w:val="hybridMultilevel"/>
    <w:tmpl w:val="EEA8258E"/>
    <w:lvl w:ilvl="0" w:tplc="95CC20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B80A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2201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8E81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5079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CE4E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44B7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AE94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E8D8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86813"/>
    <w:multiLevelType w:val="hybridMultilevel"/>
    <w:tmpl w:val="B6AC9C46"/>
    <w:lvl w:ilvl="0" w:tplc="1494F0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2086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3ED4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ECE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34D4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8429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78FC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1E7C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E6CF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1F"/>
    <w:rsid w:val="0087001F"/>
    <w:rsid w:val="00C2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0B4F35-8826-4A10-82C5-831BB0AF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463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63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635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6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6359"/>
    <w:rPr>
      <w:b/>
      <w:bCs/>
    </w:rPr>
  </w:style>
  <w:style w:type="paragraph" w:styleId="ListParagraph">
    <w:name w:val="List Paragraph"/>
    <w:basedOn w:val="Normal"/>
    <w:uiPriority w:val="34"/>
    <w:qFormat/>
    <w:rsid w:val="00600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1015</Words>
  <Characters>5633</Characters>
  <Application>Microsoft Office Word</Application>
  <DocSecurity>4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HB00684 (Committee Report (Substituted))</vt:lpstr>
    </vt:vector>
  </TitlesOfParts>
  <Company>State of Texas</Company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22683</dc:subject>
  <dc:creator>State of Texas</dc:creator>
  <dc:description>HB 684 by Clardy-(H)Public Education (Substitute Document Number: 86R 17786)</dc:description>
  <cp:lastModifiedBy>Erin Conway</cp:lastModifiedBy>
  <cp:revision>2</cp:revision>
  <cp:lastPrinted>2003-11-26T17:21:00Z</cp:lastPrinted>
  <dcterms:created xsi:type="dcterms:W3CDTF">2019-04-02T19:37:00Z</dcterms:created>
  <dcterms:modified xsi:type="dcterms:W3CDTF">2019-04-02T19:37:00Z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19.87.884</vt:lpwstr>
  </property>
</Properties>
</file>