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1DF7" w:rsidTr="00345119">
        <w:tc>
          <w:tcPr>
            <w:tcW w:w="9576" w:type="dxa"/>
            <w:noWrap/>
          </w:tcPr>
          <w:p w:rsidR="008423E4" w:rsidRPr="0022177D" w:rsidRDefault="00A70C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0C8E" w:rsidP="008423E4">
      <w:pPr>
        <w:jc w:val="center"/>
      </w:pPr>
    </w:p>
    <w:p w:rsidR="008423E4" w:rsidRPr="00B31F0E" w:rsidRDefault="00A70C8E" w:rsidP="008423E4"/>
    <w:p w:rsidR="008423E4" w:rsidRPr="00742794" w:rsidRDefault="00A70C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1DF7" w:rsidTr="00345119">
        <w:tc>
          <w:tcPr>
            <w:tcW w:w="9576" w:type="dxa"/>
          </w:tcPr>
          <w:p w:rsidR="008423E4" w:rsidRPr="00861995" w:rsidRDefault="00A70C8E" w:rsidP="00345119">
            <w:pPr>
              <w:jc w:val="right"/>
            </w:pPr>
            <w:r>
              <w:t>C.S.H.B. 698</w:t>
            </w:r>
          </w:p>
        </w:tc>
      </w:tr>
      <w:tr w:rsidR="00201DF7" w:rsidTr="00345119">
        <w:tc>
          <w:tcPr>
            <w:tcW w:w="9576" w:type="dxa"/>
          </w:tcPr>
          <w:p w:rsidR="008423E4" w:rsidRPr="00861995" w:rsidRDefault="00A70C8E" w:rsidP="002E616F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201DF7" w:rsidTr="00345119">
        <w:tc>
          <w:tcPr>
            <w:tcW w:w="9576" w:type="dxa"/>
          </w:tcPr>
          <w:p w:rsidR="008423E4" w:rsidRPr="00861995" w:rsidRDefault="00A70C8E" w:rsidP="00345119">
            <w:pPr>
              <w:jc w:val="right"/>
            </w:pPr>
            <w:r>
              <w:t>Insurance</w:t>
            </w:r>
          </w:p>
        </w:tc>
      </w:tr>
      <w:tr w:rsidR="00201DF7" w:rsidTr="00345119">
        <w:tc>
          <w:tcPr>
            <w:tcW w:w="9576" w:type="dxa"/>
          </w:tcPr>
          <w:p w:rsidR="008423E4" w:rsidRDefault="00A70C8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70C8E" w:rsidP="008423E4">
      <w:pPr>
        <w:tabs>
          <w:tab w:val="right" w:pos="9360"/>
        </w:tabs>
      </w:pPr>
    </w:p>
    <w:p w:rsidR="008423E4" w:rsidRDefault="00A70C8E" w:rsidP="008423E4"/>
    <w:p w:rsidR="008423E4" w:rsidRDefault="00A70C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1DF7" w:rsidTr="00345119">
        <w:tc>
          <w:tcPr>
            <w:tcW w:w="9576" w:type="dxa"/>
          </w:tcPr>
          <w:p w:rsidR="008423E4" w:rsidRPr="00A8133F" w:rsidRDefault="00A70C8E" w:rsidP="000500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0C8E" w:rsidP="000500BC"/>
          <w:p w:rsidR="008423E4" w:rsidRDefault="00A70C8E" w:rsidP="00050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 c</w:t>
            </w:r>
            <w:r>
              <w:t xml:space="preserve">ontracts between pharmacies and pharmacy benefit management companies </w:t>
            </w:r>
            <w:r>
              <w:t>may</w:t>
            </w:r>
            <w:r>
              <w:t xml:space="preserve"> prevent a pharmacy or pharmacist from disclosing whether a patient could save money by paying cash or purchasing a generic brand</w:t>
            </w:r>
            <w:r>
              <w:t xml:space="preserve"> and that </w:t>
            </w:r>
            <w:r>
              <w:t xml:space="preserve">consumers </w:t>
            </w:r>
            <w:r>
              <w:t xml:space="preserve">often </w:t>
            </w:r>
            <w:r>
              <w:t xml:space="preserve">do not know other options exist. </w:t>
            </w:r>
            <w:r>
              <w:t>C.S.H.B.</w:t>
            </w:r>
            <w:r>
              <w:t xml:space="preserve"> </w:t>
            </w:r>
            <w:r>
              <w:t>698</w:t>
            </w:r>
            <w:r>
              <w:t xml:space="preserve"> </w:t>
            </w:r>
            <w:r>
              <w:t xml:space="preserve">seeks to address these concerns by </w:t>
            </w:r>
            <w:r>
              <w:t>protecting certain p</w:t>
            </w:r>
            <w:r>
              <w:t>r</w:t>
            </w:r>
            <w:r>
              <w:t>actices of</w:t>
            </w:r>
            <w:r>
              <w:t xml:space="preserve"> pharmacists and pharmacies regarding amounts charged for prescription drugs</w:t>
            </w:r>
            <w:r>
              <w:t xml:space="preserve">. </w:t>
            </w:r>
          </w:p>
          <w:p w:rsidR="008423E4" w:rsidRPr="00E26B13" w:rsidRDefault="00A70C8E" w:rsidP="000500BC">
            <w:pPr>
              <w:rPr>
                <w:b/>
              </w:rPr>
            </w:pPr>
          </w:p>
        </w:tc>
      </w:tr>
      <w:tr w:rsidR="00201DF7" w:rsidTr="00345119">
        <w:tc>
          <w:tcPr>
            <w:tcW w:w="9576" w:type="dxa"/>
          </w:tcPr>
          <w:p w:rsidR="0017725B" w:rsidRDefault="00A70C8E" w:rsidP="00050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0C8E" w:rsidP="000500BC">
            <w:pPr>
              <w:rPr>
                <w:b/>
                <w:u w:val="single"/>
              </w:rPr>
            </w:pPr>
          </w:p>
          <w:p w:rsidR="008156B1" w:rsidRPr="008156B1" w:rsidRDefault="00A70C8E" w:rsidP="000500BC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:rsidR="0017725B" w:rsidRPr="0017725B" w:rsidRDefault="00A70C8E" w:rsidP="000500BC">
            <w:pPr>
              <w:rPr>
                <w:b/>
                <w:u w:val="single"/>
              </w:rPr>
            </w:pPr>
          </w:p>
        </w:tc>
      </w:tr>
      <w:tr w:rsidR="00201DF7" w:rsidTr="00345119">
        <w:tc>
          <w:tcPr>
            <w:tcW w:w="9576" w:type="dxa"/>
          </w:tcPr>
          <w:p w:rsidR="008423E4" w:rsidRPr="00A8133F" w:rsidRDefault="00A70C8E" w:rsidP="000500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0C8E" w:rsidP="000500BC"/>
          <w:p w:rsidR="008156B1" w:rsidRDefault="00A70C8E" w:rsidP="00050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A70C8E" w:rsidP="000500BC">
            <w:pPr>
              <w:rPr>
                <w:b/>
              </w:rPr>
            </w:pPr>
          </w:p>
        </w:tc>
      </w:tr>
      <w:tr w:rsidR="00201DF7" w:rsidTr="00345119">
        <w:tc>
          <w:tcPr>
            <w:tcW w:w="9576" w:type="dxa"/>
          </w:tcPr>
          <w:p w:rsidR="008423E4" w:rsidRPr="00A8133F" w:rsidRDefault="00A70C8E" w:rsidP="000500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0C8E" w:rsidP="000500BC"/>
          <w:p w:rsidR="006E4A2C" w:rsidRDefault="00A70C8E" w:rsidP="000500BC">
            <w:pPr>
              <w:pStyle w:val="Header"/>
              <w:jc w:val="both"/>
            </w:pPr>
            <w:r>
              <w:t>C.S.H.B.</w:t>
            </w:r>
            <w:r>
              <w:t xml:space="preserve"> 698 amends the Insurance Code to prohibit an issuer of a health benefit plan that covers prescription drugs or a pharmacy benefit manager</w:t>
            </w:r>
            <w:r>
              <w:t xml:space="preserve"> </w:t>
            </w:r>
            <w:r>
              <w:t>from</w:t>
            </w:r>
            <w:r>
              <w:t>,</w:t>
            </w:r>
            <w:r>
              <w:t xml:space="preserve"> </w:t>
            </w:r>
            <w:r>
              <w:t xml:space="preserve">as a condition of a contract with a pharmacist or pharmacy providing a prescription drug or in any other manner, </w:t>
            </w:r>
            <w:r>
              <w:t>prohibit</w:t>
            </w:r>
            <w:r>
              <w:t>ing</w:t>
            </w:r>
            <w:r>
              <w:t xml:space="preserve"> or otherwise restrict</w:t>
            </w:r>
            <w:r>
              <w:t>ing</w:t>
            </w:r>
            <w:r>
              <w:t xml:space="preserve"> a pharmacist </w:t>
            </w:r>
            <w:r>
              <w:t>or pharmacy from or penalizing</w:t>
            </w:r>
            <w:r>
              <w:t xml:space="preserve"> a pharmac</w:t>
            </w:r>
            <w:r>
              <w:t>ist or pharmacy for</w:t>
            </w:r>
            <w:r>
              <w:t>:</w:t>
            </w:r>
            <w:r>
              <w:t xml:space="preserve"> </w:t>
            </w:r>
          </w:p>
          <w:p w:rsidR="006E4A2C" w:rsidRDefault="00A70C8E" w:rsidP="000500B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informing a covered</w:t>
            </w:r>
            <w:r>
              <w:t xml:space="preserve"> </w:t>
            </w:r>
            <w:r w:rsidRPr="00226919">
              <w:t>health bene</w:t>
            </w:r>
            <w:r w:rsidRPr="00226919">
              <w:t>fit plan</w:t>
            </w:r>
            <w:r>
              <w:t xml:space="preserve"> </w:t>
            </w:r>
            <w:r>
              <w:t>enrollee</w:t>
            </w:r>
            <w:r>
              <w:t xml:space="preserve"> </w:t>
            </w:r>
            <w:r>
              <w:t>that the amount the pharmacist or pharmacy charges for a prescription drug is less than the enrollee's copayment, deductible, or coinsurance for the drug under the plan or otherwise providing information to the enrollee regarding the cost</w:t>
            </w:r>
            <w:r>
              <w:t xml:space="preserve"> of the drug</w:t>
            </w:r>
            <w:r>
              <w:t>;</w:t>
            </w:r>
            <w:r>
              <w:t xml:space="preserve"> or</w:t>
            </w:r>
            <w:r>
              <w:t xml:space="preserve"> </w:t>
            </w:r>
          </w:p>
          <w:p w:rsidR="006E4A2C" w:rsidRDefault="00A70C8E" w:rsidP="000500B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selling a prescription drug covered by the plan for an amount that is less than the enrollee's copayment, deductible, or coinsurance for the drug under the plan.</w:t>
            </w:r>
            <w:r>
              <w:t xml:space="preserve"> </w:t>
            </w:r>
          </w:p>
          <w:p w:rsidR="008423E4" w:rsidRDefault="00A70C8E" w:rsidP="000500BC">
            <w:pPr>
              <w:pStyle w:val="Header"/>
              <w:spacing w:before="120" w:after="120"/>
              <w:jc w:val="both"/>
            </w:pPr>
            <w:r w:rsidRPr="008156B1">
              <w:t>The bill establishes</w:t>
            </w:r>
            <w:r>
              <w:t xml:space="preserve"> </w:t>
            </w:r>
            <w:r w:rsidRPr="008156B1">
              <w:t>the applicability of its provisions</w:t>
            </w:r>
            <w:r>
              <w:t xml:space="preserve">. The bill applies </w:t>
            </w:r>
            <w:r w:rsidRPr="008156B1">
              <w:t>only to a health benefit plan that is delivered, issued for delivery, or renewed on or after January 1, 2020.</w:t>
            </w:r>
          </w:p>
          <w:p w:rsidR="008423E4" w:rsidRPr="00835628" w:rsidRDefault="00A70C8E" w:rsidP="000500BC">
            <w:pPr>
              <w:rPr>
                <w:b/>
              </w:rPr>
            </w:pPr>
          </w:p>
        </w:tc>
      </w:tr>
      <w:tr w:rsidR="00201DF7" w:rsidTr="00345119">
        <w:tc>
          <w:tcPr>
            <w:tcW w:w="9576" w:type="dxa"/>
          </w:tcPr>
          <w:p w:rsidR="008423E4" w:rsidRPr="00A8133F" w:rsidRDefault="00A70C8E" w:rsidP="000500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0C8E" w:rsidP="000500BC"/>
          <w:p w:rsidR="008423E4" w:rsidRPr="003624F2" w:rsidRDefault="00A70C8E" w:rsidP="00050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156B1">
              <w:t>September 1, 2019.</w:t>
            </w:r>
          </w:p>
          <w:p w:rsidR="008423E4" w:rsidRPr="00233FDB" w:rsidRDefault="00A70C8E" w:rsidP="000500BC">
            <w:pPr>
              <w:rPr>
                <w:b/>
              </w:rPr>
            </w:pPr>
          </w:p>
        </w:tc>
      </w:tr>
      <w:tr w:rsidR="00201DF7" w:rsidTr="00345119">
        <w:tc>
          <w:tcPr>
            <w:tcW w:w="9576" w:type="dxa"/>
          </w:tcPr>
          <w:p w:rsidR="002E616F" w:rsidRDefault="00A70C8E" w:rsidP="000500B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17AA0" w:rsidRDefault="00A70C8E" w:rsidP="000500BC">
            <w:pPr>
              <w:jc w:val="both"/>
            </w:pPr>
          </w:p>
          <w:p w:rsidR="00217AA0" w:rsidRDefault="00A70C8E" w:rsidP="000500BC">
            <w:pPr>
              <w:jc w:val="both"/>
            </w:pPr>
            <w:r>
              <w:t xml:space="preserve">While C.S.H.B. 698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217AA0" w:rsidRDefault="00A70C8E" w:rsidP="000500BC">
            <w:pPr>
              <w:jc w:val="both"/>
            </w:pPr>
          </w:p>
          <w:p w:rsidR="00217AA0" w:rsidRDefault="00A70C8E" w:rsidP="000500BC">
            <w:pPr>
              <w:jc w:val="both"/>
            </w:pPr>
            <w:r>
              <w:t>The substitute does not</w:t>
            </w:r>
            <w:r>
              <w:t xml:space="preserve"> include </w:t>
            </w:r>
            <w:r>
              <w:t>in</w:t>
            </w:r>
            <w:r>
              <w:t xml:space="preserve"> the applicability of the bill's provisions certain </w:t>
            </w:r>
            <w:r w:rsidRPr="00217AA0">
              <w:t>county employee group hea</w:t>
            </w:r>
            <w:r w:rsidRPr="00217AA0">
              <w:t xml:space="preserve">lth benefits </w:t>
            </w:r>
            <w:r>
              <w:t>or</w:t>
            </w:r>
            <w:r>
              <w:t xml:space="preserve"> </w:t>
            </w:r>
            <w:r w:rsidRPr="00217AA0">
              <w:t>health and accident coverage provided by a risk pool created under</w:t>
            </w:r>
            <w:r>
              <w:t xml:space="preserve"> </w:t>
            </w:r>
            <w:r w:rsidRPr="00217AA0">
              <w:t>the Texas Political Subdivision Employees Uniform Group Benefits Act</w:t>
            </w:r>
            <w:r>
              <w:t>.</w:t>
            </w:r>
          </w:p>
          <w:p w:rsidR="005E6EA4" w:rsidRDefault="00A70C8E" w:rsidP="000500BC">
            <w:pPr>
              <w:jc w:val="both"/>
            </w:pPr>
          </w:p>
          <w:p w:rsidR="005E6EA4" w:rsidRDefault="00A70C8E" w:rsidP="000500BC">
            <w:pPr>
              <w:jc w:val="both"/>
            </w:pPr>
            <w:r>
              <w:t xml:space="preserve">The substitute includes a procedural provision relating to </w:t>
            </w:r>
            <w:r>
              <w:t>an affected state</w:t>
            </w:r>
            <w:r>
              <w:t xml:space="preserve"> agency's request of a nec</w:t>
            </w:r>
            <w:r>
              <w:t>essary federal waiver or authorization.</w:t>
            </w:r>
          </w:p>
          <w:p w:rsidR="00217AA0" w:rsidRPr="00217AA0" w:rsidRDefault="00A70C8E" w:rsidP="000500BC">
            <w:pPr>
              <w:jc w:val="both"/>
            </w:pPr>
          </w:p>
        </w:tc>
      </w:tr>
      <w:tr w:rsidR="00201DF7" w:rsidTr="00345119">
        <w:tc>
          <w:tcPr>
            <w:tcW w:w="9576" w:type="dxa"/>
          </w:tcPr>
          <w:p w:rsidR="002E616F" w:rsidRPr="009C1E9A" w:rsidRDefault="00A70C8E" w:rsidP="000500BC">
            <w:pPr>
              <w:rPr>
                <w:b/>
                <w:u w:val="single"/>
              </w:rPr>
            </w:pPr>
          </w:p>
        </w:tc>
      </w:tr>
      <w:tr w:rsidR="00201DF7" w:rsidTr="00345119">
        <w:tc>
          <w:tcPr>
            <w:tcW w:w="9576" w:type="dxa"/>
          </w:tcPr>
          <w:p w:rsidR="002E616F" w:rsidRPr="002E616F" w:rsidRDefault="00A70C8E" w:rsidP="000500BC">
            <w:pPr>
              <w:jc w:val="both"/>
            </w:pPr>
          </w:p>
        </w:tc>
      </w:tr>
    </w:tbl>
    <w:p w:rsidR="008423E4" w:rsidRPr="00BE0E75" w:rsidRDefault="00A70C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0C8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0C8E">
      <w:r>
        <w:separator/>
      </w:r>
    </w:p>
  </w:endnote>
  <w:endnote w:type="continuationSeparator" w:id="0">
    <w:p w:rsidR="00000000" w:rsidRDefault="00A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1DF7" w:rsidTr="009C1E9A">
      <w:trPr>
        <w:cantSplit/>
      </w:trPr>
      <w:tc>
        <w:tcPr>
          <w:tcW w:w="0" w:type="pct"/>
        </w:tcPr>
        <w:p w:rsidR="00137D90" w:rsidRDefault="00A70C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0C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0C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0C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0C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1DF7" w:rsidTr="009C1E9A">
      <w:trPr>
        <w:cantSplit/>
      </w:trPr>
      <w:tc>
        <w:tcPr>
          <w:tcW w:w="0" w:type="pct"/>
        </w:tcPr>
        <w:p w:rsidR="00EC379B" w:rsidRDefault="00A70C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0C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29016</w:t>
          </w:r>
        </w:p>
      </w:tc>
      <w:tc>
        <w:tcPr>
          <w:tcW w:w="2453" w:type="pct"/>
        </w:tcPr>
        <w:p w:rsidR="00EC379B" w:rsidRDefault="00A70C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19.112.1428</w:t>
          </w:r>
          <w:r>
            <w:fldChar w:fldCharType="end"/>
          </w:r>
        </w:p>
      </w:tc>
    </w:tr>
    <w:tr w:rsidR="00201DF7" w:rsidTr="009C1E9A">
      <w:trPr>
        <w:cantSplit/>
      </w:trPr>
      <w:tc>
        <w:tcPr>
          <w:tcW w:w="0" w:type="pct"/>
        </w:tcPr>
        <w:p w:rsidR="00EC379B" w:rsidRDefault="00A70C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0C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26825</w:t>
          </w:r>
        </w:p>
      </w:tc>
      <w:tc>
        <w:tcPr>
          <w:tcW w:w="2453" w:type="pct"/>
        </w:tcPr>
        <w:p w:rsidR="00EC379B" w:rsidRDefault="00A70C8E" w:rsidP="006D504F">
          <w:pPr>
            <w:pStyle w:val="Footer"/>
            <w:rPr>
              <w:rStyle w:val="PageNumber"/>
            </w:rPr>
          </w:pPr>
        </w:p>
        <w:p w:rsidR="00EC379B" w:rsidRDefault="00A70C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1D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0C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0C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0C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0C8E">
      <w:r>
        <w:separator/>
      </w:r>
    </w:p>
  </w:footnote>
  <w:footnote w:type="continuationSeparator" w:id="0">
    <w:p w:rsidR="00000000" w:rsidRDefault="00A7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A80"/>
    <w:multiLevelType w:val="hybridMultilevel"/>
    <w:tmpl w:val="F6441FF4"/>
    <w:lvl w:ilvl="0" w:tplc="C694A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69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AF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2D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28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4C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CB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CA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43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F7"/>
    <w:rsid w:val="00201DF7"/>
    <w:rsid w:val="00A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5DD3DC-E748-485B-873E-E851297D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56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5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56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5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56B1"/>
    <w:rPr>
      <w:b/>
      <w:bCs/>
    </w:rPr>
  </w:style>
  <w:style w:type="paragraph" w:styleId="Revision">
    <w:name w:val="Revision"/>
    <w:hidden/>
    <w:uiPriority w:val="99"/>
    <w:semiHidden/>
    <w:rsid w:val="007F0ECE"/>
    <w:rPr>
      <w:sz w:val="24"/>
      <w:szCs w:val="24"/>
    </w:rPr>
  </w:style>
  <w:style w:type="character" w:styleId="Hyperlink">
    <w:name w:val="Hyperlink"/>
    <w:basedOn w:val="DefaultParagraphFont"/>
    <w:unhideWhenUsed/>
    <w:rsid w:val="007F0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2331</Characters>
  <Application>Microsoft Office Word</Application>
  <DocSecurity>4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HB00698 (Committee Report (Substituted))</vt:lpstr>
    </vt:vector>
  </TitlesOfParts>
  <Company>State of Texas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29016</dc:subject>
  <dc:creator>State of Texas</dc:creator>
  <dc:description>HB 698 by Blanco-(H)Insurance (Substitute Document Number: 86R 26825)</dc:description>
  <cp:lastModifiedBy>Laura Ramsay</cp:lastModifiedBy>
  <cp:revision>2</cp:revision>
  <cp:lastPrinted>2003-11-26T17:21:00Z</cp:lastPrinted>
  <dcterms:created xsi:type="dcterms:W3CDTF">2019-04-29T13:51:00Z</dcterms:created>
  <dcterms:modified xsi:type="dcterms:W3CDTF">2019-04-29T13:51:00Z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19.112.1428</vt:lpwstr>
  </property>
</Properties>
</file>