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84918" w:rsidTr="00345119">
        <w:tc>
          <w:tcPr>
            <w:tcW w:w="9576" w:type="dxa"/>
            <w:noWrap/>
          </w:tcPr>
          <w:p w:rsidR="008423E4" w:rsidRPr="0022177D" w:rsidRDefault="00C1063D" w:rsidP="00345119">
            <w:pPr>
              <w:pStyle w:val="Heading1"/>
            </w:pPr>
            <w:bookmarkStart w:id="0" w:name="_GoBack"/>
            <w:bookmarkEnd w:id="0"/>
            <w:r w:rsidRPr="00631897">
              <w:t>BILL ANALYSIS</w:t>
            </w:r>
          </w:p>
        </w:tc>
      </w:tr>
    </w:tbl>
    <w:p w:rsidR="008423E4" w:rsidRPr="0022177D" w:rsidRDefault="00C1063D" w:rsidP="008423E4">
      <w:pPr>
        <w:jc w:val="center"/>
      </w:pPr>
    </w:p>
    <w:p w:rsidR="008423E4" w:rsidRPr="00B31F0E" w:rsidRDefault="00C1063D" w:rsidP="008423E4"/>
    <w:p w:rsidR="008423E4" w:rsidRPr="00742794" w:rsidRDefault="00C1063D" w:rsidP="008423E4">
      <w:pPr>
        <w:tabs>
          <w:tab w:val="right" w:pos="9360"/>
        </w:tabs>
      </w:pPr>
    </w:p>
    <w:tbl>
      <w:tblPr>
        <w:tblW w:w="0" w:type="auto"/>
        <w:tblLayout w:type="fixed"/>
        <w:tblLook w:val="01E0" w:firstRow="1" w:lastRow="1" w:firstColumn="1" w:lastColumn="1" w:noHBand="0" w:noVBand="0"/>
      </w:tblPr>
      <w:tblGrid>
        <w:gridCol w:w="9576"/>
      </w:tblGrid>
      <w:tr w:rsidR="00F84918" w:rsidTr="00345119">
        <w:tc>
          <w:tcPr>
            <w:tcW w:w="9576" w:type="dxa"/>
          </w:tcPr>
          <w:p w:rsidR="008423E4" w:rsidRPr="00861995" w:rsidRDefault="00C1063D" w:rsidP="00345119">
            <w:pPr>
              <w:jc w:val="right"/>
            </w:pPr>
            <w:r>
              <w:t>C.S.H.B. 701</w:t>
            </w:r>
          </w:p>
        </w:tc>
      </w:tr>
      <w:tr w:rsidR="00F84918" w:rsidTr="00345119">
        <w:tc>
          <w:tcPr>
            <w:tcW w:w="9576" w:type="dxa"/>
          </w:tcPr>
          <w:p w:rsidR="008423E4" w:rsidRPr="00861995" w:rsidRDefault="00C1063D" w:rsidP="006C7A9C">
            <w:pPr>
              <w:jc w:val="right"/>
            </w:pPr>
            <w:r>
              <w:t xml:space="preserve">By: </w:t>
            </w:r>
            <w:r>
              <w:t>Lucio III</w:t>
            </w:r>
          </w:p>
        </w:tc>
      </w:tr>
      <w:tr w:rsidR="00F84918" w:rsidTr="00345119">
        <w:tc>
          <w:tcPr>
            <w:tcW w:w="9576" w:type="dxa"/>
          </w:tcPr>
          <w:p w:rsidR="008423E4" w:rsidRPr="00861995" w:rsidRDefault="00C1063D" w:rsidP="00345119">
            <w:pPr>
              <w:jc w:val="right"/>
            </w:pPr>
            <w:r>
              <w:t>Business &amp; Industry</w:t>
            </w:r>
          </w:p>
        </w:tc>
      </w:tr>
      <w:tr w:rsidR="00F84918" w:rsidTr="00345119">
        <w:tc>
          <w:tcPr>
            <w:tcW w:w="9576" w:type="dxa"/>
          </w:tcPr>
          <w:p w:rsidR="008423E4" w:rsidRDefault="00C1063D" w:rsidP="00345119">
            <w:pPr>
              <w:jc w:val="right"/>
            </w:pPr>
            <w:r>
              <w:t>Committee Report (Substituted)</w:t>
            </w:r>
          </w:p>
        </w:tc>
      </w:tr>
    </w:tbl>
    <w:p w:rsidR="008423E4" w:rsidRDefault="00C1063D" w:rsidP="008423E4">
      <w:pPr>
        <w:tabs>
          <w:tab w:val="right" w:pos="9360"/>
        </w:tabs>
      </w:pPr>
    </w:p>
    <w:p w:rsidR="008423E4" w:rsidRDefault="00C1063D" w:rsidP="008423E4"/>
    <w:p w:rsidR="008423E4" w:rsidRDefault="00C1063D" w:rsidP="008423E4"/>
    <w:tbl>
      <w:tblPr>
        <w:tblW w:w="0" w:type="auto"/>
        <w:tblCellMar>
          <w:left w:w="115" w:type="dxa"/>
          <w:right w:w="115" w:type="dxa"/>
        </w:tblCellMar>
        <w:tblLook w:val="01E0" w:firstRow="1" w:lastRow="1" w:firstColumn="1" w:lastColumn="1" w:noHBand="0" w:noVBand="0"/>
      </w:tblPr>
      <w:tblGrid>
        <w:gridCol w:w="9576"/>
      </w:tblGrid>
      <w:tr w:rsidR="00F84918" w:rsidTr="00345119">
        <w:tc>
          <w:tcPr>
            <w:tcW w:w="9576" w:type="dxa"/>
          </w:tcPr>
          <w:p w:rsidR="008423E4" w:rsidRPr="00A8133F" w:rsidRDefault="00C1063D" w:rsidP="00E83CBE">
            <w:pPr>
              <w:rPr>
                <w:b/>
              </w:rPr>
            </w:pPr>
            <w:r w:rsidRPr="009C1E9A">
              <w:rPr>
                <w:b/>
                <w:u w:val="single"/>
              </w:rPr>
              <w:t>BACKGROUND AND PURPOSE</w:t>
            </w:r>
            <w:r>
              <w:rPr>
                <w:b/>
              </w:rPr>
              <w:t xml:space="preserve"> </w:t>
            </w:r>
          </w:p>
          <w:p w:rsidR="008423E4" w:rsidRDefault="00C1063D" w:rsidP="00E83CBE"/>
          <w:p w:rsidR="008423E4" w:rsidRDefault="00C1063D" w:rsidP="00E83CBE">
            <w:pPr>
              <w:pStyle w:val="Header"/>
              <w:jc w:val="both"/>
            </w:pPr>
            <w:r>
              <w:t xml:space="preserve">Concerns have been raised with regard to the </w:t>
            </w:r>
            <w:r>
              <w:t xml:space="preserve">business practices of call centers in Texas and the impact </w:t>
            </w:r>
            <w:r>
              <w:t xml:space="preserve">inadequately staffed </w:t>
            </w:r>
            <w:r>
              <w:t>centers</w:t>
            </w:r>
            <w:r>
              <w:t xml:space="preserve"> may have on Texas consumers. </w:t>
            </w:r>
            <w:r>
              <w:t xml:space="preserve">To </w:t>
            </w:r>
            <w:r>
              <w:t xml:space="preserve">better provide for the highest standards of </w:t>
            </w:r>
            <w:r>
              <w:t>customer service</w:t>
            </w:r>
            <w:r>
              <w:t>,</w:t>
            </w:r>
            <w:r>
              <w:t xml:space="preserve"> </w:t>
            </w:r>
            <w:r>
              <w:t>C.S.</w:t>
            </w:r>
            <w:r>
              <w:t xml:space="preserve">H.B. 701 seeks to </w:t>
            </w:r>
            <w:r>
              <w:t>require a</w:t>
            </w:r>
            <w:r>
              <w:t xml:space="preserve"> call center or a business that operate</w:t>
            </w:r>
            <w:r>
              <w:t>s</w:t>
            </w:r>
            <w:r>
              <w:t xml:space="preserve"> a call center to notify the Texas Department of Insurance if the </w:t>
            </w:r>
            <w:r>
              <w:t>call ce</w:t>
            </w:r>
            <w:r>
              <w:t xml:space="preserve">nter </w:t>
            </w:r>
            <w:r>
              <w:t>or bu</w:t>
            </w:r>
            <w:r>
              <w:t xml:space="preserve">siness </w:t>
            </w:r>
            <w:r>
              <w:t xml:space="preserve">plans to terminate customer service positions in Texas that handle </w:t>
            </w:r>
            <w:r>
              <w:t xml:space="preserve">a certain volume of calls and relocate </w:t>
            </w:r>
            <w:r>
              <w:t xml:space="preserve">those </w:t>
            </w:r>
            <w:r>
              <w:t>positions to call centers outside the United States.</w:t>
            </w:r>
          </w:p>
          <w:p w:rsidR="008423E4" w:rsidRPr="00E26B13" w:rsidRDefault="00C1063D" w:rsidP="00E83CBE">
            <w:pPr>
              <w:rPr>
                <w:b/>
              </w:rPr>
            </w:pPr>
          </w:p>
        </w:tc>
      </w:tr>
      <w:tr w:rsidR="00F84918" w:rsidTr="00345119">
        <w:tc>
          <w:tcPr>
            <w:tcW w:w="9576" w:type="dxa"/>
          </w:tcPr>
          <w:p w:rsidR="0017725B" w:rsidRDefault="00C1063D" w:rsidP="00E83CBE">
            <w:pPr>
              <w:rPr>
                <w:b/>
                <w:u w:val="single"/>
              </w:rPr>
            </w:pPr>
            <w:r>
              <w:rPr>
                <w:b/>
                <w:u w:val="single"/>
              </w:rPr>
              <w:t>CRIMINAL JUSTICE IMPACT</w:t>
            </w:r>
          </w:p>
          <w:p w:rsidR="0017725B" w:rsidRDefault="00C1063D" w:rsidP="00E83CBE">
            <w:pPr>
              <w:rPr>
                <w:b/>
                <w:u w:val="single"/>
              </w:rPr>
            </w:pPr>
          </w:p>
          <w:p w:rsidR="00B4304D" w:rsidRPr="00B4304D" w:rsidRDefault="00C1063D" w:rsidP="00E83CBE">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C1063D" w:rsidP="00E83CBE">
            <w:pPr>
              <w:rPr>
                <w:b/>
                <w:u w:val="single"/>
              </w:rPr>
            </w:pPr>
          </w:p>
        </w:tc>
      </w:tr>
      <w:tr w:rsidR="00F84918" w:rsidTr="00345119">
        <w:tc>
          <w:tcPr>
            <w:tcW w:w="9576" w:type="dxa"/>
          </w:tcPr>
          <w:p w:rsidR="008423E4" w:rsidRPr="00A8133F" w:rsidRDefault="00C1063D" w:rsidP="00E83CBE">
            <w:pPr>
              <w:rPr>
                <w:b/>
              </w:rPr>
            </w:pPr>
            <w:r w:rsidRPr="009C1E9A">
              <w:rPr>
                <w:b/>
                <w:u w:val="single"/>
              </w:rPr>
              <w:t>RULEMAKING AUTHORITY</w:t>
            </w:r>
            <w:r>
              <w:rPr>
                <w:b/>
              </w:rPr>
              <w:t xml:space="preserve"> </w:t>
            </w:r>
          </w:p>
          <w:p w:rsidR="008423E4" w:rsidRDefault="00C1063D" w:rsidP="00E83CBE"/>
          <w:p w:rsidR="00B4304D" w:rsidRDefault="00C1063D" w:rsidP="00E83CBE">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C1063D" w:rsidP="00E83CBE">
            <w:pPr>
              <w:rPr>
                <w:b/>
              </w:rPr>
            </w:pPr>
          </w:p>
        </w:tc>
      </w:tr>
      <w:tr w:rsidR="00F84918" w:rsidTr="00345119">
        <w:tc>
          <w:tcPr>
            <w:tcW w:w="9576" w:type="dxa"/>
          </w:tcPr>
          <w:p w:rsidR="008423E4" w:rsidRPr="00A8133F" w:rsidRDefault="00C1063D" w:rsidP="00E83CBE">
            <w:pPr>
              <w:rPr>
                <w:b/>
              </w:rPr>
            </w:pPr>
            <w:r w:rsidRPr="009C1E9A">
              <w:rPr>
                <w:b/>
                <w:u w:val="single"/>
              </w:rPr>
              <w:t>ANALYSIS</w:t>
            </w:r>
            <w:r>
              <w:rPr>
                <w:b/>
              </w:rPr>
              <w:t xml:space="preserve">   </w:t>
            </w:r>
          </w:p>
          <w:p w:rsidR="008423E4" w:rsidRDefault="00C1063D" w:rsidP="00E83CBE"/>
          <w:p w:rsidR="00CC7DF0" w:rsidRDefault="00C1063D" w:rsidP="00E83CBE">
            <w:pPr>
              <w:pStyle w:val="Header"/>
              <w:jc w:val="both"/>
            </w:pPr>
            <w:r>
              <w:t>C.S.</w:t>
            </w:r>
            <w:r>
              <w:t>H.B. 701 amends the Business &amp; Commerce Code to require a</w:t>
            </w:r>
            <w:r>
              <w:t>n applicable</w:t>
            </w:r>
            <w:r>
              <w:t xml:space="preserve"> business</w:t>
            </w:r>
            <w:r>
              <w:t xml:space="preserve"> that i</w:t>
            </w:r>
            <w:r>
              <w:t>s a call center or that operates a call center</w:t>
            </w:r>
            <w:r>
              <w:t xml:space="preserve"> to notify the Texas Department of Insurance (TDI) if the business plans to terminate customer service employee positions in Texas that handle at least 50 percent of total customer service call volume for the b</w:t>
            </w:r>
            <w:r>
              <w:t>usiness, as measured against the previous 12 months</w:t>
            </w:r>
            <w:r>
              <w:t>'</w:t>
            </w:r>
            <w:r>
              <w:t xml:space="preserve"> average customer service call volume of the business</w:t>
            </w:r>
            <w:r>
              <w:t>,</w:t>
            </w:r>
            <w:r>
              <w:t xml:space="preserve"> and relocate the duties of those positions to persons in one or more call centers</w:t>
            </w:r>
            <w:r>
              <w:t xml:space="preserve"> </w:t>
            </w:r>
            <w:r>
              <w:t xml:space="preserve">located outside of the United States. The bill </w:t>
            </w:r>
            <w:r>
              <w:t>requires the busines</w:t>
            </w:r>
            <w:r>
              <w:t xml:space="preserve">s to notify TDI of its intent to terminate and relocate the positions at least </w:t>
            </w:r>
            <w:r>
              <w:t xml:space="preserve">60 </w:t>
            </w:r>
            <w:r>
              <w:t>days before the termination or relocation</w:t>
            </w:r>
            <w:r>
              <w:t xml:space="preserve"> of the positions</w:t>
            </w:r>
            <w:r>
              <w:t xml:space="preserve"> and requires a business receiving a public subsidy at the time of notification to additionally notify TDI that the </w:t>
            </w:r>
            <w:r>
              <w:t>business is receiving a public subsidy when providing the notification</w:t>
            </w:r>
            <w:r>
              <w:t xml:space="preserve">. The bill makes a business that violates these </w:t>
            </w:r>
            <w:r>
              <w:t xml:space="preserve">requirements </w:t>
            </w:r>
            <w:r>
              <w:t xml:space="preserve">liable to </w:t>
            </w:r>
            <w:r>
              <w:t xml:space="preserve">the </w:t>
            </w:r>
            <w:r>
              <w:t xml:space="preserve">state for a </w:t>
            </w:r>
            <w:r>
              <w:t xml:space="preserve">maximum $10,000 </w:t>
            </w:r>
            <w:r>
              <w:t>civil penalty for each day that the business is in violation</w:t>
            </w:r>
            <w:r>
              <w:t xml:space="preserve"> and</w:t>
            </w:r>
            <w:r>
              <w:t xml:space="preserve"> authorizes the att</w:t>
            </w:r>
            <w:r>
              <w:t xml:space="preserve">orney general to bring suit to recover </w:t>
            </w:r>
            <w:r>
              <w:t>the</w:t>
            </w:r>
            <w:r>
              <w:t xml:space="preserve"> civil penalty. The bill's provisions apply to </w:t>
            </w:r>
            <w:r>
              <w:t xml:space="preserve">such </w:t>
            </w:r>
            <w:r>
              <w:t xml:space="preserve">a business only if the business has at least 50 customer service employees located in Texas, excluding customer service employees who work less than 20 hours per </w:t>
            </w:r>
            <w:r>
              <w:t>week, or has at least 50 customer service employees located in Texas who, in the aggregate, work a total of at least 1,500 hours per week.</w:t>
            </w:r>
          </w:p>
          <w:p w:rsidR="008423E4" w:rsidRDefault="00C1063D" w:rsidP="00E83CBE">
            <w:pPr>
              <w:pStyle w:val="Header"/>
              <w:jc w:val="both"/>
            </w:pPr>
          </w:p>
          <w:p w:rsidR="00E07304" w:rsidRDefault="00C1063D" w:rsidP="00E83CBE">
            <w:pPr>
              <w:pStyle w:val="Header"/>
              <w:jc w:val="both"/>
            </w:pPr>
            <w:r>
              <w:t>C.S.</w:t>
            </w:r>
            <w:r>
              <w:t>H.B. 701 requires TDI to maintain a list of businesses that</w:t>
            </w:r>
            <w:r>
              <w:t>, while receiving a public subsidy,</w:t>
            </w:r>
            <w:r>
              <w:t xml:space="preserve"> have terminated a</w:t>
            </w:r>
            <w:r>
              <w:t xml:space="preserve">nd relocated customer service employee positions </w:t>
            </w:r>
            <w:r>
              <w:t xml:space="preserve">in such a manner </w:t>
            </w:r>
            <w:r>
              <w:t xml:space="preserve">and </w:t>
            </w:r>
            <w:r w:rsidRPr="006B7AC2">
              <w:t>prohibits</w:t>
            </w:r>
            <w:r>
              <w:t xml:space="preserve"> </w:t>
            </w:r>
            <w:r>
              <w:t>a business that is adde</w:t>
            </w:r>
            <w:r>
              <w:t xml:space="preserve">d to </w:t>
            </w:r>
            <w:r>
              <w:t xml:space="preserve">that </w:t>
            </w:r>
            <w:r>
              <w:t xml:space="preserve">list </w:t>
            </w:r>
            <w:r>
              <w:t xml:space="preserve">from being removed from </w:t>
            </w:r>
            <w:r>
              <w:t xml:space="preserve">the </w:t>
            </w:r>
            <w:r>
              <w:t xml:space="preserve">list </w:t>
            </w:r>
            <w:r>
              <w:t xml:space="preserve">before the fifth anniversary of the date the business was added to the list. The bill requires TDI to </w:t>
            </w:r>
            <w:r>
              <w:t>make the list available to the public and to semiannually distribute the list to all</w:t>
            </w:r>
            <w:r>
              <w:t xml:space="preserve"> </w:t>
            </w:r>
            <w:r>
              <w:t>state agencies and the Better Business Bureau.</w:t>
            </w:r>
            <w:r>
              <w:t xml:space="preserve"> The bill requires TDI to</w:t>
            </w:r>
            <w:r>
              <w:t xml:space="preserve"> remove a business from the list if the business relocates in </w:t>
            </w:r>
            <w:r>
              <w:t>Texas</w:t>
            </w:r>
            <w:r>
              <w:t xml:space="preserve"> as many </w:t>
            </w:r>
            <w:r>
              <w:t>customer service employe</w:t>
            </w:r>
            <w:r>
              <w:t xml:space="preserve">e </w:t>
            </w:r>
            <w:r>
              <w:t>positions as the business terminated and relocated causing the business to be added to the list.</w:t>
            </w:r>
            <w:r>
              <w:t xml:space="preserve"> </w:t>
            </w:r>
          </w:p>
          <w:p w:rsidR="00E07304" w:rsidRDefault="00C1063D" w:rsidP="00E83CBE">
            <w:pPr>
              <w:pStyle w:val="Header"/>
              <w:jc w:val="both"/>
            </w:pPr>
          </w:p>
          <w:p w:rsidR="00DC03CA" w:rsidRDefault="00C1063D" w:rsidP="00E83CBE">
            <w:pPr>
              <w:pStyle w:val="Header"/>
              <w:jc w:val="both"/>
            </w:pPr>
            <w:r>
              <w:t>C.S.H.B. 701</w:t>
            </w:r>
            <w:r>
              <w:t xml:space="preserve"> requires TDI to</w:t>
            </w:r>
            <w:r>
              <w:t>:</w:t>
            </w:r>
            <w:r>
              <w:t xml:space="preserve"> </w:t>
            </w:r>
          </w:p>
          <w:p w:rsidR="00DC03CA" w:rsidRDefault="00C1063D" w:rsidP="00E83CBE">
            <w:pPr>
              <w:pStyle w:val="Header"/>
              <w:numPr>
                <w:ilvl w:val="0"/>
                <w:numId w:val="3"/>
              </w:numPr>
              <w:spacing w:before="120" w:after="120"/>
              <w:jc w:val="both"/>
            </w:pPr>
            <w:r>
              <w:t>maintain a</w:t>
            </w:r>
            <w:r>
              <w:t>nother</w:t>
            </w:r>
            <w:r>
              <w:t xml:space="preserve"> list of businesses that, while receiving a public subsidy, have not terminated or relocated customer servic</w:t>
            </w:r>
            <w:r>
              <w:t>e employee positions</w:t>
            </w:r>
            <w:r>
              <w:t xml:space="preserve"> in such a manner; </w:t>
            </w:r>
          </w:p>
          <w:p w:rsidR="00DC03CA" w:rsidRDefault="00C1063D" w:rsidP="00E83CBE">
            <w:pPr>
              <w:pStyle w:val="Header"/>
              <w:numPr>
                <w:ilvl w:val="0"/>
                <w:numId w:val="3"/>
              </w:numPr>
              <w:spacing w:before="120" w:after="120"/>
              <w:jc w:val="both"/>
            </w:pPr>
            <w:r>
              <w:t xml:space="preserve">make </w:t>
            </w:r>
            <w:r>
              <w:t xml:space="preserve">that </w:t>
            </w:r>
            <w:r>
              <w:t xml:space="preserve">list available to the public and to semiannually distribute the list to all state agencies and the Better Business Bureau; and </w:t>
            </w:r>
          </w:p>
          <w:p w:rsidR="00DC03CA" w:rsidRDefault="00C1063D" w:rsidP="00E83CBE">
            <w:pPr>
              <w:pStyle w:val="Header"/>
              <w:numPr>
                <w:ilvl w:val="0"/>
                <w:numId w:val="3"/>
              </w:numPr>
              <w:spacing w:before="120" w:after="120"/>
              <w:jc w:val="both"/>
            </w:pPr>
            <w:r>
              <w:t xml:space="preserve">remove a business from </w:t>
            </w:r>
            <w:r>
              <w:t xml:space="preserve">that </w:t>
            </w:r>
            <w:r>
              <w:t>list if the business, while receiving a public sub</w:t>
            </w:r>
            <w:r>
              <w:t xml:space="preserve">sidy, terminates or relocates customer service employee positions in such a manner. </w:t>
            </w:r>
          </w:p>
          <w:p w:rsidR="000539E1" w:rsidRDefault="00C1063D" w:rsidP="00E83CBE">
            <w:pPr>
              <w:pStyle w:val="Header"/>
              <w:spacing w:before="120"/>
              <w:jc w:val="both"/>
            </w:pPr>
            <w:r>
              <w:t xml:space="preserve">The bill authorizes a business to request to be added to </w:t>
            </w:r>
            <w:r>
              <w:t xml:space="preserve">that </w:t>
            </w:r>
            <w:r>
              <w:t xml:space="preserve">list and requires TDI to do so if, while receiving a public subsidy, the business has not terminated or </w:t>
            </w:r>
            <w:r>
              <w:t>relocated customer service employee positions.</w:t>
            </w:r>
          </w:p>
          <w:p w:rsidR="000539E1" w:rsidRDefault="00C1063D" w:rsidP="00E83CBE">
            <w:pPr>
              <w:pStyle w:val="Header"/>
              <w:jc w:val="both"/>
            </w:pPr>
          </w:p>
          <w:p w:rsidR="00750964" w:rsidRDefault="00C1063D" w:rsidP="00E83CBE">
            <w:pPr>
              <w:pStyle w:val="Header"/>
              <w:jc w:val="both"/>
            </w:pPr>
            <w:r>
              <w:t xml:space="preserve">C.S.H.B. 701 requires a public agency, in awarding a contract for services, to give preference to a </w:t>
            </w:r>
            <w:r w:rsidRPr="00750964">
              <w:t>vendor, bidder, contractor, or subcontractor that does no</w:t>
            </w:r>
            <w:r>
              <w:t>t appear on the list</w:t>
            </w:r>
            <w:r>
              <w:t xml:space="preserve"> of businesses that relocate cu</w:t>
            </w:r>
            <w:r>
              <w:t>stomer service employee positions</w:t>
            </w:r>
            <w:r>
              <w:t>. The bill prohibits a public agency from awarding or providing a public subsidy</w:t>
            </w:r>
            <w:r>
              <w:t xml:space="preserve"> </w:t>
            </w:r>
            <w:r>
              <w:t xml:space="preserve">to a business that appears on </w:t>
            </w:r>
            <w:r>
              <w:t xml:space="preserve">that </w:t>
            </w:r>
            <w:r>
              <w:t>list</w:t>
            </w:r>
            <w:r>
              <w:t xml:space="preserve"> </w:t>
            </w:r>
            <w:r>
              <w:t>but authorizes</w:t>
            </w:r>
            <w:r>
              <w:t xml:space="preserve"> </w:t>
            </w:r>
            <w:r>
              <w:t xml:space="preserve">a public agency, after consulting with </w:t>
            </w:r>
            <w:r>
              <w:t>TDI</w:t>
            </w:r>
            <w:r>
              <w:t xml:space="preserve">, </w:t>
            </w:r>
            <w:r>
              <w:t>to</w:t>
            </w:r>
            <w:r>
              <w:t xml:space="preserve"> </w:t>
            </w:r>
            <w:r>
              <w:t>award a public subsidy if the business a</w:t>
            </w:r>
            <w:r>
              <w:t>pplying for the subsidy shows that the refusal to grant the subsidy would result in su</w:t>
            </w:r>
            <w:r>
              <w:t xml:space="preserve">bstantial job loss in Texas </w:t>
            </w:r>
            <w:r>
              <w:t xml:space="preserve">or harm the environment. The bill requires a business that </w:t>
            </w:r>
            <w:r>
              <w:t xml:space="preserve">has </w:t>
            </w:r>
            <w:r>
              <w:t>receive</w:t>
            </w:r>
            <w:r>
              <w:t>d</w:t>
            </w:r>
            <w:r>
              <w:t xml:space="preserve"> a public subsidy and is placed on the list after the business was awar</w:t>
            </w:r>
            <w:r>
              <w:t xml:space="preserve">ded the subsidy </w:t>
            </w:r>
            <w:r>
              <w:t xml:space="preserve">to repay </w:t>
            </w:r>
            <w:r>
              <w:t>the full amount of the subsidy.</w:t>
            </w:r>
            <w:r>
              <w:t xml:space="preserve"> </w:t>
            </w:r>
          </w:p>
          <w:p w:rsidR="00750964" w:rsidRDefault="00C1063D" w:rsidP="00E83CBE">
            <w:pPr>
              <w:pStyle w:val="Header"/>
              <w:jc w:val="both"/>
            </w:pPr>
          </w:p>
          <w:p w:rsidR="00984847" w:rsidRDefault="00C1063D" w:rsidP="00E83CBE">
            <w:pPr>
              <w:pStyle w:val="Header"/>
              <w:jc w:val="both"/>
            </w:pPr>
            <w:r>
              <w:t>C.S.H.B. 701 requires all call center services performed on behalf of a state agency to be performed in Texas.</w:t>
            </w:r>
            <w:r>
              <w:t xml:space="preserve"> This requirement does not apply to </w:t>
            </w:r>
            <w:r>
              <w:t xml:space="preserve">parent locator </w:t>
            </w:r>
            <w:r>
              <w:t>services performed on behalf of the</w:t>
            </w:r>
            <w:r>
              <w:t xml:space="preserve"> </w:t>
            </w:r>
            <w:r>
              <w:t>attorney general's office.</w:t>
            </w:r>
          </w:p>
          <w:p w:rsidR="008423E4" w:rsidRPr="00835628" w:rsidRDefault="00C1063D" w:rsidP="00E83CBE">
            <w:pPr>
              <w:rPr>
                <w:b/>
              </w:rPr>
            </w:pPr>
          </w:p>
        </w:tc>
      </w:tr>
      <w:tr w:rsidR="00F84918" w:rsidTr="00345119">
        <w:tc>
          <w:tcPr>
            <w:tcW w:w="9576" w:type="dxa"/>
          </w:tcPr>
          <w:p w:rsidR="008423E4" w:rsidRPr="00A8133F" w:rsidRDefault="00C1063D" w:rsidP="00E83CBE">
            <w:pPr>
              <w:rPr>
                <w:b/>
              </w:rPr>
            </w:pPr>
            <w:r w:rsidRPr="009C1E9A">
              <w:rPr>
                <w:b/>
                <w:u w:val="single"/>
              </w:rPr>
              <w:t>EFFECTIVE DATE</w:t>
            </w:r>
            <w:r>
              <w:rPr>
                <w:b/>
              </w:rPr>
              <w:t xml:space="preserve"> </w:t>
            </w:r>
          </w:p>
          <w:p w:rsidR="008423E4" w:rsidRDefault="00C1063D" w:rsidP="00E83CBE"/>
          <w:p w:rsidR="008423E4" w:rsidRPr="003624F2" w:rsidRDefault="00C1063D" w:rsidP="00E83CBE">
            <w:pPr>
              <w:pStyle w:val="Header"/>
              <w:tabs>
                <w:tab w:val="clear" w:pos="4320"/>
                <w:tab w:val="clear" w:pos="8640"/>
              </w:tabs>
              <w:jc w:val="both"/>
            </w:pPr>
            <w:r>
              <w:t>January 1, 2020.</w:t>
            </w:r>
          </w:p>
          <w:p w:rsidR="008423E4" w:rsidRPr="00233FDB" w:rsidRDefault="00C1063D" w:rsidP="00E83CBE">
            <w:pPr>
              <w:rPr>
                <w:b/>
              </w:rPr>
            </w:pPr>
          </w:p>
        </w:tc>
      </w:tr>
      <w:tr w:rsidR="00F84918" w:rsidTr="00345119">
        <w:tc>
          <w:tcPr>
            <w:tcW w:w="9576" w:type="dxa"/>
          </w:tcPr>
          <w:p w:rsidR="006C7A9C" w:rsidRDefault="00C1063D" w:rsidP="00E83CBE">
            <w:pPr>
              <w:jc w:val="both"/>
              <w:rPr>
                <w:b/>
                <w:u w:val="single"/>
              </w:rPr>
            </w:pPr>
            <w:r>
              <w:rPr>
                <w:b/>
                <w:u w:val="single"/>
              </w:rPr>
              <w:t>COMPARISON OF ORIGINAL AND SUBSTITUTE</w:t>
            </w:r>
          </w:p>
          <w:p w:rsidR="00AC3A54" w:rsidRDefault="00C1063D" w:rsidP="00E83CBE">
            <w:pPr>
              <w:jc w:val="both"/>
            </w:pPr>
          </w:p>
          <w:p w:rsidR="00AC3A54" w:rsidRDefault="00C1063D" w:rsidP="00E83CBE">
            <w:pPr>
              <w:jc w:val="both"/>
            </w:pPr>
            <w:r>
              <w:t xml:space="preserve">While C.S.H.B. 701 may differ from the original in minor or nonsubstantive ways, the following summarizes the substantial differences between the </w:t>
            </w:r>
            <w:r>
              <w:t>introduced and committee substitute versions of the bill.</w:t>
            </w:r>
          </w:p>
          <w:p w:rsidR="00236A49" w:rsidRDefault="00C1063D" w:rsidP="00E83CBE">
            <w:pPr>
              <w:jc w:val="both"/>
            </w:pPr>
          </w:p>
          <w:p w:rsidR="00236A49" w:rsidRDefault="00C1063D" w:rsidP="00E83CBE">
            <w:pPr>
              <w:jc w:val="both"/>
            </w:pPr>
            <w:r>
              <w:t>The substitute includes provisions relating to:</w:t>
            </w:r>
          </w:p>
          <w:p w:rsidR="00236A49" w:rsidRDefault="00C1063D" w:rsidP="00E83CBE">
            <w:pPr>
              <w:pStyle w:val="ListParagraph"/>
              <w:numPr>
                <w:ilvl w:val="0"/>
                <w:numId w:val="2"/>
              </w:numPr>
              <w:spacing w:before="120" w:after="120"/>
              <w:contextualSpacing w:val="0"/>
              <w:jc w:val="both"/>
            </w:pPr>
            <w:r>
              <w:t>an additional notification requirement for businesses</w:t>
            </w:r>
            <w:r>
              <w:t xml:space="preserve"> that intend to terminate and relocate customer service positions while</w:t>
            </w:r>
            <w:r>
              <w:t xml:space="preserve"> receiving a public subsi</w:t>
            </w:r>
            <w:r>
              <w:t>dy</w:t>
            </w:r>
            <w:r>
              <w:t>;</w:t>
            </w:r>
          </w:p>
          <w:p w:rsidR="00236A49" w:rsidRDefault="00C1063D" w:rsidP="00E83CBE">
            <w:pPr>
              <w:pStyle w:val="ListParagraph"/>
              <w:numPr>
                <w:ilvl w:val="0"/>
                <w:numId w:val="2"/>
              </w:numPr>
              <w:spacing w:before="120" w:after="120"/>
              <w:contextualSpacing w:val="0"/>
              <w:jc w:val="both"/>
            </w:pPr>
            <w:r>
              <w:t>the creation and maintenance of a list of businesses that maintain customer service employee positions</w:t>
            </w:r>
            <w:r>
              <w:t>; and</w:t>
            </w:r>
          </w:p>
          <w:p w:rsidR="00461C6E" w:rsidRDefault="00C1063D" w:rsidP="00E83CBE">
            <w:pPr>
              <w:pStyle w:val="ListParagraph"/>
              <w:numPr>
                <w:ilvl w:val="0"/>
                <w:numId w:val="2"/>
              </w:numPr>
              <w:spacing w:before="120"/>
              <w:contextualSpacing w:val="0"/>
              <w:jc w:val="both"/>
            </w:pPr>
            <w:r>
              <w:t>an exemption for parent locator services performed on behalf of the attorney general's office from a requirement that all call center services p</w:t>
            </w:r>
            <w:r>
              <w:t>erformed on behalf of a state agency be performed in Texas</w:t>
            </w:r>
            <w:r>
              <w:t>.</w:t>
            </w:r>
          </w:p>
          <w:p w:rsidR="00236A49" w:rsidRDefault="00C1063D" w:rsidP="00E83CBE">
            <w:pPr>
              <w:jc w:val="both"/>
            </w:pPr>
          </w:p>
          <w:p w:rsidR="00236A49" w:rsidRDefault="00C1063D" w:rsidP="00E83CBE">
            <w:pPr>
              <w:jc w:val="both"/>
            </w:pPr>
            <w:r>
              <w:t>The substitute does not include provisions relating to duties of customer service employees.</w:t>
            </w:r>
          </w:p>
          <w:p w:rsidR="00236A49" w:rsidRDefault="00C1063D" w:rsidP="00E83CBE">
            <w:pPr>
              <w:jc w:val="both"/>
            </w:pPr>
          </w:p>
          <w:p w:rsidR="00236A49" w:rsidRDefault="00C1063D" w:rsidP="00E83CBE">
            <w:pPr>
              <w:jc w:val="both"/>
            </w:pPr>
            <w:r>
              <w:t>The substitute changes provisions relating to:</w:t>
            </w:r>
          </w:p>
          <w:p w:rsidR="00236A49" w:rsidRDefault="00C1063D" w:rsidP="00E83CBE">
            <w:pPr>
              <w:pStyle w:val="ListParagraph"/>
              <w:numPr>
                <w:ilvl w:val="0"/>
                <w:numId w:val="1"/>
              </w:numPr>
              <w:spacing w:before="120" w:after="120"/>
              <w:contextualSpacing w:val="0"/>
              <w:jc w:val="both"/>
            </w:pPr>
            <w:r>
              <w:t>the deadline by which the business is required to noti</w:t>
            </w:r>
            <w:r>
              <w:t>fy TDI of its intent to terminate and relocate customer service employee positions</w:t>
            </w:r>
            <w:r>
              <w:t>;</w:t>
            </w:r>
          </w:p>
          <w:p w:rsidR="00461C6E" w:rsidRDefault="00C1063D" w:rsidP="00E83CBE">
            <w:pPr>
              <w:pStyle w:val="ListParagraph"/>
              <w:numPr>
                <w:ilvl w:val="0"/>
                <w:numId w:val="1"/>
              </w:numPr>
              <w:spacing w:before="120" w:after="120"/>
              <w:contextualSpacing w:val="0"/>
              <w:jc w:val="both"/>
            </w:pPr>
            <w:r>
              <w:t>the businesses that relocate customer service employee positions for which TDI is required to maintain a list; and</w:t>
            </w:r>
          </w:p>
          <w:p w:rsidR="00236A49" w:rsidRDefault="00C1063D" w:rsidP="00E83CBE">
            <w:pPr>
              <w:pStyle w:val="ListParagraph"/>
              <w:numPr>
                <w:ilvl w:val="0"/>
                <w:numId w:val="1"/>
              </w:numPr>
              <w:spacing w:before="120" w:after="120"/>
              <w:contextualSpacing w:val="0"/>
              <w:jc w:val="both"/>
            </w:pPr>
            <w:r>
              <w:t>the bill's effective date</w:t>
            </w:r>
            <w:r>
              <w:t>.</w:t>
            </w:r>
          </w:p>
          <w:p w:rsidR="00AC3A54" w:rsidRPr="00AC3A54" w:rsidRDefault="00C1063D" w:rsidP="00E83CBE">
            <w:pPr>
              <w:jc w:val="both"/>
            </w:pPr>
          </w:p>
        </w:tc>
      </w:tr>
      <w:tr w:rsidR="00F84918" w:rsidTr="00345119">
        <w:tc>
          <w:tcPr>
            <w:tcW w:w="9576" w:type="dxa"/>
          </w:tcPr>
          <w:p w:rsidR="006C7A9C" w:rsidRPr="009C1E9A" w:rsidRDefault="00C1063D" w:rsidP="00E83CBE">
            <w:pPr>
              <w:rPr>
                <w:b/>
                <w:u w:val="single"/>
              </w:rPr>
            </w:pPr>
          </w:p>
        </w:tc>
      </w:tr>
      <w:tr w:rsidR="00F84918" w:rsidTr="00345119">
        <w:tc>
          <w:tcPr>
            <w:tcW w:w="9576" w:type="dxa"/>
          </w:tcPr>
          <w:p w:rsidR="006C7A9C" w:rsidRPr="006C7A9C" w:rsidRDefault="00C1063D" w:rsidP="00E83CBE">
            <w:pPr>
              <w:jc w:val="both"/>
            </w:pPr>
          </w:p>
        </w:tc>
      </w:tr>
    </w:tbl>
    <w:p w:rsidR="008423E4" w:rsidRPr="00BE0E75" w:rsidRDefault="00C1063D" w:rsidP="008423E4">
      <w:pPr>
        <w:spacing w:line="480" w:lineRule="auto"/>
        <w:jc w:val="both"/>
        <w:rPr>
          <w:rFonts w:ascii="Arial" w:hAnsi="Arial"/>
          <w:sz w:val="16"/>
          <w:szCs w:val="16"/>
        </w:rPr>
      </w:pPr>
    </w:p>
    <w:p w:rsidR="004108C3" w:rsidRPr="008423E4" w:rsidRDefault="00C1063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63D">
      <w:r>
        <w:separator/>
      </w:r>
    </w:p>
  </w:endnote>
  <w:endnote w:type="continuationSeparator" w:id="0">
    <w:p w:rsidR="00000000" w:rsidRDefault="00C1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5" w:rsidRDefault="00C1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84918" w:rsidTr="009C1E9A">
      <w:trPr>
        <w:cantSplit/>
      </w:trPr>
      <w:tc>
        <w:tcPr>
          <w:tcW w:w="0" w:type="pct"/>
        </w:tcPr>
        <w:p w:rsidR="00137D90" w:rsidRDefault="00C1063D" w:rsidP="009C1E9A">
          <w:pPr>
            <w:pStyle w:val="Footer"/>
            <w:tabs>
              <w:tab w:val="clear" w:pos="8640"/>
              <w:tab w:val="right" w:pos="9360"/>
            </w:tabs>
          </w:pPr>
        </w:p>
      </w:tc>
      <w:tc>
        <w:tcPr>
          <w:tcW w:w="2395" w:type="pct"/>
        </w:tcPr>
        <w:p w:rsidR="00137D90" w:rsidRDefault="00C1063D" w:rsidP="009C1E9A">
          <w:pPr>
            <w:pStyle w:val="Footer"/>
            <w:tabs>
              <w:tab w:val="clear" w:pos="8640"/>
              <w:tab w:val="right" w:pos="9360"/>
            </w:tabs>
          </w:pPr>
        </w:p>
        <w:p w:rsidR="001A4310" w:rsidRDefault="00C1063D" w:rsidP="009C1E9A">
          <w:pPr>
            <w:pStyle w:val="Footer"/>
            <w:tabs>
              <w:tab w:val="clear" w:pos="8640"/>
              <w:tab w:val="right" w:pos="9360"/>
            </w:tabs>
          </w:pPr>
        </w:p>
        <w:p w:rsidR="00137D90" w:rsidRDefault="00C1063D" w:rsidP="009C1E9A">
          <w:pPr>
            <w:pStyle w:val="Footer"/>
            <w:tabs>
              <w:tab w:val="clear" w:pos="8640"/>
              <w:tab w:val="right" w:pos="9360"/>
            </w:tabs>
          </w:pPr>
        </w:p>
      </w:tc>
      <w:tc>
        <w:tcPr>
          <w:tcW w:w="2453" w:type="pct"/>
        </w:tcPr>
        <w:p w:rsidR="00137D90" w:rsidRDefault="00C1063D" w:rsidP="009C1E9A">
          <w:pPr>
            <w:pStyle w:val="Footer"/>
            <w:tabs>
              <w:tab w:val="clear" w:pos="8640"/>
              <w:tab w:val="right" w:pos="9360"/>
            </w:tabs>
            <w:jc w:val="right"/>
          </w:pPr>
        </w:p>
      </w:tc>
    </w:tr>
    <w:tr w:rsidR="00F84918" w:rsidTr="009C1E9A">
      <w:trPr>
        <w:cantSplit/>
      </w:trPr>
      <w:tc>
        <w:tcPr>
          <w:tcW w:w="0" w:type="pct"/>
        </w:tcPr>
        <w:p w:rsidR="00EC379B" w:rsidRDefault="00C1063D" w:rsidP="009C1E9A">
          <w:pPr>
            <w:pStyle w:val="Footer"/>
            <w:tabs>
              <w:tab w:val="clear" w:pos="8640"/>
              <w:tab w:val="right" w:pos="9360"/>
            </w:tabs>
          </w:pPr>
        </w:p>
      </w:tc>
      <w:tc>
        <w:tcPr>
          <w:tcW w:w="2395" w:type="pct"/>
        </w:tcPr>
        <w:p w:rsidR="00EC379B" w:rsidRPr="009C1E9A" w:rsidRDefault="00C1063D" w:rsidP="009C1E9A">
          <w:pPr>
            <w:pStyle w:val="Footer"/>
            <w:tabs>
              <w:tab w:val="clear" w:pos="8640"/>
              <w:tab w:val="right" w:pos="9360"/>
            </w:tabs>
            <w:rPr>
              <w:rFonts w:ascii="Shruti" w:hAnsi="Shruti"/>
              <w:sz w:val="22"/>
            </w:rPr>
          </w:pPr>
          <w:r>
            <w:rPr>
              <w:rFonts w:ascii="Shruti" w:hAnsi="Shruti"/>
              <w:sz w:val="22"/>
            </w:rPr>
            <w:t>86R 27898</w:t>
          </w:r>
        </w:p>
      </w:tc>
      <w:tc>
        <w:tcPr>
          <w:tcW w:w="2453" w:type="pct"/>
        </w:tcPr>
        <w:p w:rsidR="00EC379B" w:rsidRDefault="00C1063D" w:rsidP="009C1E9A">
          <w:pPr>
            <w:pStyle w:val="Footer"/>
            <w:tabs>
              <w:tab w:val="clear" w:pos="8640"/>
              <w:tab w:val="right" w:pos="9360"/>
            </w:tabs>
            <w:jc w:val="right"/>
          </w:pPr>
          <w:r>
            <w:fldChar w:fldCharType="begin"/>
          </w:r>
          <w:r>
            <w:instrText xml:space="preserve"> DOCPROPERTY  OTID  \* MERGEFORMAT </w:instrText>
          </w:r>
          <w:r>
            <w:fldChar w:fldCharType="separate"/>
          </w:r>
          <w:r>
            <w:t>19.107.837</w:t>
          </w:r>
          <w:r>
            <w:fldChar w:fldCharType="end"/>
          </w:r>
        </w:p>
      </w:tc>
    </w:tr>
    <w:tr w:rsidR="00F84918" w:rsidTr="009C1E9A">
      <w:trPr>
        <w:cantSplit/>
      </w:trPr>
      <w:tc>
        <w:tcPr>
          <w:tcW w:w="0" w:type="pct"/>
        </w:tcPr>
        <w:p w:rsidR="00EC379B" w:rsidRDefault="00C1063D" w:rsidP="009C1E9A">
          <w:pPr>
            <w:pStyle w:val="Footer"/>
            <w:tabs>
              <w:tab w:val="clear" w:pos="4320"/>
              <w:tab w:val="clear" w:pos="8640"/>
              <w:tab w:val="left" w:pos="2865"/>
            </w:tabs>
          </w:pPr>
        </w:p>
      </w:tc>
      <w:tc>
        <w:tcPr>
          <w:tcW w:w="2395" w:type="pct"/>
        </w:tcPr>
        <w:p w:rsidR="00EC379B" w:rsidRPr="009C1E9A" w:rsidRDefault="00C1063D" w:rsidP="009C1E9A">
          <w:pPr>
            <w:pStyle w:val="Footer"/>
            <w:tabs>
              <w:tab w:val="clear" w:pos="4320"/>
              <w:tab w:val="clear" w:pos="8640"/>
              <w:tab w:val="left" w:pos="2865"/>
            </w:tabs>
            <w:rPr>
              <w:rFonts w:ascii="Shruti" w:hAnsi="Shruti"/>
              <w:sz w:val="22"/>
            </w:rPr>
          </w:pPr>
          <w:r>
            <w:rPr>
              <w:rFonts w:ascii="Shruti" w:hAnsi="Shruti"/>
              <w:sz w:val="22"/>
            </w:rPr>
            <w:t>Substitute Document Number: 86R 25644</w:t>
          </w:r>
        </w:p>
      </w:tc>
      <w:tc>
        <w:tcPr>
          <w:tcW w:w="2453" w:type="pct"/>
        </w:tcPr>
        <w:p w:rsidR="00EC379B" w:rsidRDefault="00C1063D" w:rsidP="006D504F">
          <w:pPr>
            <w:pStyle w:val="Footer"/>
            <w:rPr>
              <w:rStyle w:val="PageNumber"/>
            </w:rPr>
          </w:pPr>
        </w:p>
        <w:p w:rsidR="00EC379B" w:rsidRDefault="00C1063D" w:rsidP="009C1E9A">
          <w:pPr>
            <w:pStyle w:val="Footer"/>
            <w:tabs>
              <w:tab w:val="clear" w:pos="8640"/>
              <w:tab w:val="right" w:pos="9360"/>
            </w:tabs>
            <w:jc w:val="right"/>
          </w:pPr>
        </w:p>
      </w:tc>
    </w:tr>
    <w:tr w:rsidR="00F84918" w:rsidTr="009C1E9A">
      <w:trPr>
        <w:cantSplit/>
        <w:trHeight w:val="323"/>
      </w:trPr>
      <w:tc>
        <w:tcPr>
          <w:tcW w:w="0" w:type="pct"/>
          <w:gridSpan w:val="3"/>
        </w:tcPr>
        <w:p w:rsidR="00EC379B" w:rsidRDefault="00C106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1063D" w:rsidP="009C1E9A">
          <w:pPr>
            <w:pStyle w:val="Footer"/>
            <w:tabs>
              <w:tab w:val="clear" w:pos="8640"/>
              <w:tab w:val="right" w:pos="9360"/>
            </w:tabs>
            <w:jc w:val="center"/>
          </w:pPr>
        </w:p>
      </w:tc>
    </w:tr>
  </w:tbl>
  <w:p w:rsidR="00EC379B" w:rsidRPr="00FF6F72" w:rsidRDefault="00C1063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5" w:rsidRDefault="00C1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063D">
      <w:r>
        <w:separator/>
      </w:r>
    </w:p>
  </w:footnote>
  <w:footnote w:type="continuationSeparator" w:id="0">
    <w:p w:rsidR="00000000" w:rsidRDefault="00C1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5" w:rsidRDefault="00C1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5" w:rsidRDefault="00C10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5" w:rsidRDefault="00C1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45E"/>
    <w:multiLevelType w:val="hybridMultilevel"/>
    <w:tmpl w:val="DBC81418"/>
    <w:lvl w:ilvl="0" w:tplc="BA107072">
      <w:start w:val="1"/>
      <w:numFmt w:val="bullet"/>
      <w:lvlText w:val=""/>
      <w:lvlJc w:val="left"/>
      <w:pPr>
        <w:tabs>
          <w:tab w:val="num" w:pos="720"/>
        </w:tabs>
        <w:ind w:left="720" w:hanging="360"/>
      </w:pPr>
      <w:rPr>
        <w:rFonts w:ascii="Symbol" w:hAnsi="Symbol" w:hint="default"/>
      </w:rPr>
    </w:lvl>
    <w:lvl w:ilvl="1" w:tplc="33E2AFD0" w:tentative="1">
      <w:start w:val="1"/>
      <w:numFmt w:val="bullet"/>
      <w:lvlText w:val="o"/>
      <w:lvlJc w:val="left"/>
      <w:pPr>
        <w:ind w:left="1440" w:hanging="360"/>
      </w:pPr>
      <w:rPr>
        <w:rFonts w:ascii="Courier New" w:hAnsi="Courier New" w:cs="Courier New" w:hint="default"/>
      </w:rPr>
    </w:lvl>
    <w:lvl w:ilvl="2" w:tplc="521A1272" w:tentative="1">
      <w:start w:val="1"/>
      <w:numFmt w:val="bullet"/>
      <w:lvlText w:val=""/>
      <w:lvlJc w:val="left"/>
      <w:pPr>
        <w:ind w:left="2160" w:hanging="360"/>
      </w:pPr>
      <w:rPr>
        <w:rFonts w:ascii="Wingdings" w:hAnsi="Wingdings" w:hint="default"/>
      </w:rPr>
    </w:lvl>
    <w:lvl w:ilvl="3" w:tplc="018A5A5A" w:tentative="1">
      <w:start w:val="1"/>
      <w:numFmt w:val="bullet"/>
      <w:lvlText w:val=""/>
      <w:lvlJc w:val="left"/>
      <w:pPr>
        <w:ind w:left="2880" w:hanging="360"/>
      </w:pPr>
      <w:rPr>
        <w:rFonts w:ascii="Symbol" w:hAnsi="Symbol" w:hint="default"/>
      </w:rPr>
    </w:lvl>
    <w:lvl w:ilvl="4" w:tplc="99AA9922" w:tentative="1">
      <w:start w:val="1"/>
      <w:numFmt w:val="bullet"/>
      <w:lvlText w:val="o"/>
      <w:lvlJc w:val="left"/>
      <w:pPr>
        <w:ind w:left="3600" w:hanging="360"/>
      </w:pPr>
      <w:rPr>
        <w:rFonts w:ascii="Courier New" w:hAnsi="Courier New" w:cs="Courier New" w:hint="default"/>
      </w:rPr>
    </w:lvl>
    <w:lvl w:ilvl="5" w:tplc="493AAB6C" w:tentative="1">
      <w:start w:val="1"/>
      <w:numFmt w:val="bullet"/>
      <w:lvlText w:val=""/>
      <w:lvlJc w:val="left"/>
      <w:pPr>
        <w:ind w:left="4320" w:hanging="360"/>
      </w:pPr>
      <w:rPr>
        <w:rFonts w:ascii="Wingdings" w:hAnsi="Wingdings" w:hint="default"/>
      </w:rPr>
    </w:lvl>
    <w:lvl w:ilvl="6" w:tplc="E6109D78" w:tentative="1">
      <w:start w:val="1"/>
      <w:numFmt w:val="bullet"/>
      <w:lvlText w:val=""/>
      <w:lvlJc w:val="left"/>
      <w:pPr>
        <w:ind w:left="5040" w:hanging="360"/>
      </w:pPr>
      <w:rPr>
        <w:rFonts w:ascii="Symbol" w:hAnsi="Symbol" w:hint="default"/>
      </w:rPr>
    </w:lvl>
    <w:lvl w:ilvl="7" w:tplc="80BAFC8A" w:tentative="1">
      <w:start w:val="1"/>
      <w:numFmt w:val="bullet"/>
      <w:lvlText w:val="o"/>
      <w:lvlJc w:val="left"/>
      <w:pPr>
        <w:ind w:left="5760" w:hanging="360"/>
      </w:pPr>
      <w:rPr>
        <w:rFonts w:ascii="Courier New" w:hAnsi="Courier New" w:cs="Courier New" w:hint="default"/>
      </w:rPr>
    </w:lvl>
    <w:lvl w:ilvl="8" w:tplc="E1842ED4" w:tentative="1">
      <w:start w:val="1"/>
      <w:numFmt w:val="bullet"/>
      <w:lvlText w:val=""/>
      <w:lvlJc w:val="left"/>
      <w:pPr>
        <w:ind w:left="6480" w:hanging="360"/>
      </w:pPr>
      <w:rPr>
        <w:rFonts w:ascii="Wingdings" w:hAnsi="Wingdings" w:hint="default"/>
      </w:rPr>
    </w:lvl>
  </w:abstractNum>
  <w:abstractNum w:abstractNumId="1" w15:restartNumberingAfterBreak="0">
    <w:nsid w:val="55D22CE5"/>
    <w:multiLevelType w:val="hybridMultilevel"/>
    <w:tmpl w:val="05ECA42A"/>
    <w:lvl w:ilvl="0" w:tplc="2E96C08A">
      <w:start w:val="1"/>
      <w:numFmt w:val="bullet"/>
      <w:lvlText w:val=""/>
      <w:lvlJc w:val="left"/>
      <w:pPr>
        <w:tabs>
          <w:tab w:val="num" w:pos="720"/>
        </w:tabs>
        <w:ind w:left="720" w:hanging="360"/>
      </w:pPr>
      <w:rPr>
        <w:rFonts w:ascii="Symbol" w:hAnsi="Symbol" w:hint="default"/>
      </w:rPr>
    </w:lvl>
    <w:lvl w:ilvl="1" w:tplc="FF889E3C" w:tentative="1">
      <w:start w:val="1"/>
      <w:numFmt w:val="bullet"/>
      <w:lvlText w:val="o"/>
      <w:lvlJc w:val="left"/>
      <w:pPr>
        <w:ind w:left="1440" w:hanging="360"/>
      </w:pPr>
      <w:rPr>
        <w:rFonts w:ascii="Courier New" w:hAnsi="Courier New" w:cs="Courier New" w:hint="default"/>
      </w:rPr>
    </w:lvl>
    <w:lvl w:ilvl="2" w:tplc="CADA9456" w:tentative="1">
      <w:start w:val="1"/>
      <w:numFmt w:val="bullet"/>
      <w:lvlText w:val=""/>
      <w:lvlJc w:val="left"/>
      <w:pPr>
        <w:ind w:left="2160" w:hanging="360"/>
      </w:pPr>
      <w:rPr>
        <w:rFonts w:ascii="Wingdings" w:hAnsi="Wingdings" w:hint="default"/>
      </w:rPr>
    </w:lvl>
    <w:lvl w:ilvl="3" w:tplc="134A4912" w:tentative="1">
      <w:start w:val="1"/>
      <w:numFmt w:val="bullet"/>
      <w:lvlText w:val=""/>
      <w:lvlJc w:val="left"/>
      <w:pPr>
        <w:ind w:left="2880" w:hanging="360"/>
      </w:pPr>
      <w:rPr>
        <w:rFonts w:ascii="Symbol" w:hAnsi="Symbol" w:hint="default"/>
      </w:rPr>
    </w:lvl>
    <w:lvl w:ilvl="4" w:tplc="B1FA45CE" w:tentative="1">
      <w:start w:val="1"/>
      <w:numFmt w:val="bullet"/>
      <w:lvlText w:val="o"/>
      <w:lvlJc w:val="left"/>
      <w:pPr>
        <w:ind w:left="3600" w:hanging="360"/>
      </w:pPr>
      <w:rPr>
        <w:rFonts w:ascii="Courier New" w:hAnsi="Courier New" w:cs="Courier New" w:hint="default"/>
      </w:rPr>
    </w:lvl>
    <w:lvl w:ilvl="5" w:tplc="7C3802D6" w:tentative="1">
      <w:start w:val="1"/>
      <w:numFmt w:val="bullet"/>
      <w:lvlText w:val=""/>
      <w:lvlJc w:val="left"/>
      <w:pPr>
        <w:ind w:left="4320" w:hanging="360"/>
      </w:pPr>
      <w:rPr>
        <w:rFonts w:ascii="Wingdings" w:hAnsi="Wingdings" w:hint="default"/>
      </w:rPr>
    </w:lvl>
    <w:lvl w:ilvl="6" w:tplc="464AD41A" w:tentative="1">
      <w:start w:val="1"/>
      <w:numFmt w:val="bullet"/>
      <w:lvlText w:val=""/>
      <w:lvlJc w:val="left"/>
      <w:pPr>
        <w:ind w:left="5040" w:hanging="360"/>
      </w:pPr>
      <w:rPr>
        <w:rFonts w:ascii="Symbol" w:hAnsi="Symbol" w:hint="default"/>
      </w:rPr>
    </w:lvl>
    <w:lvl w:ilvl="7" w:tplc="9A80C536" w:tentative="1">
      <w:start w:val="1"/>
      <w:numFmt w:val="bullet"/>
      <w:lvlText w:val="o"/>
      <w:lvlJc w:val="left"/>
      <w:pPr>
        <w:ind w:left="5760" w:hanging="360"/>
      </w:pPr>
      <w:rPr>
        <w:rFonts w:ascii="Courier New" w:hAnsi="Courier New" w:cs="Courier New" w:hint="default"/>
      </w:rPr>
    </w:lvl>
    <w:lvl w:ilvl="8" w:tplc="4FB69346" w:tentative="1">
      <w:start w:val="1"/>
      <w:numFmt w:val="bullet"/>
      <w:lvlText w:val=""/>
      <w:lvlJc w:val="left"/>
      <w:pPr>
        <w:ind w:left="6480" w:hanging="360"/>
      </w:pPr>
      <w:rPr>
        <w:rFonts w:ascii="Wingdings" w:hAnsi="Wingdings" w:hint="default"/>
      </w:rPr>
    </w:lvl>
  </w:abstractNum>
  <w:abstractNum w:abstractNumId="2" w15:restartNumberingAfterBreak="0">
    <w:nsid w:val="710A4EED"/>
    <w:multiLevelType w:val="hybridMultilevel"/>
    <w:tmpl w:val="3C18C4F6"/>
    <w:lvl w:ilvl="0" w:tplc="FAB6B3F8">
      <w:start w:val="1"/>
      <w:numFmt w:val="bullet"/>
      <w:lvlText w:val=""/>
      <w:lvlJc w:val="left"/>
      <w:pPr>
        <w:tabs>
          <w:tab w:val="num" w:pos="720"/>
        </w:tabs>
        <w:ind w:left="720" w:hanging="360"/>
      </w:pPr>
      <w:rPr>
        <w:rFonts w:ascii="Symbol" w:hAnsi="Symbol" w:hint="default"/>
      </w:rPr>
    </w:lvl>
    <w:lvl w:ilvl="1" w:tplc="D0A49D0A" w:tentative="1">
      <w:start w:val="1"/>
      <w:numFmt w:val="bullet"/>
      <w:lvlText w:val="o"/>
      <w:lvlJc w:val="left"/>
      <w:pPr>
        <w:ind w:left="1440" w:hanging="360"/>
      </w:pPr>
      <w:rPr>
        <w:rFonts w:ascii="Courier New" w:hAnsi="Courier New" w:cs="Courier New" w:hint="default"/>
      </w:rPr>
    </w:lvl>
    <w:lvl w:ilvl="2" w:tplc="FF121294" w:tentative="1">
      <w:start w:val="1"/>
      <w:numFmt w:val="bullet"/>
      <w:lvlText w:val=""/>
      <w:lvlJc w:val="left"/>
      <w:pPr>
        <w:ind w:left="2160" w:hanging="360"/>
      </w:pPr>
      <w:rPr>
        <w:rFonts w:ascii="Wingdings" w:hAnsi="Wingdings" w:hint="default"/>
      </w:rPr>
    </w:lvl>
    <w:lvl w:ilvl="3" w:tplc="0180F3DA" w:tentative="1">
      <w:start w:val="1"/>
      <w:numFmt w:val="bullet"/>
      <w:lvlText w:val=""/>
      <w:lvlJc w:val="left"/>
      <w:pPr>
        <w:ind w:left="2880" w:hanging="360"/>
      </w:pPr>
      <w:rPr>
        <w:rFonts w:ascii="Symbol" w:hAnsi="Symbol" w:hint="default"/>
      </w:rPr>
    </w:lvl>
    <w:lvl w:ilvl="4" w:tplc="7952B348" w:tentative="1">
      <w:start w:val="1"/>
      <w:numFmt w:val="bullet"/>
      <w:lvlText w:val="o"/>
      <w:lvlJc w:val="left"/>
      <w:pPr>
        <w:ind w:left="3600" w:hanging="360"/>
      </w:pPr>
      <w:rPr>
        <w:rFonts w:ascii="Courier New" w:hAnsi="Courier New" w:cs="Courier New" w:hint="default"/>
      </w:rPr>
    </w:lvl>
    <w:lvl w:ilvl="5" w:tplc="3D845498" w:tentative="1">
      <w:start w:val="1"/>
      <w:numFmt w:val="bullet"/>
      <w:lvlText w:val=""/>
      <w:lvlJc w:val="left"/>
      <w:pPr>
        <w:ind w:left="4320" w:hanging="360"/>
      </w:pPr>
      <w:rPr>
        <w:rFonts w:ascii="Wingdings" w:hAnsi="Wingdings" w:hint="default"/>
      </w:rPr>
    </w:lvl>
    <w:lvl w:ilvl="6" w:tplc="DB864D62" w:tentative="1">
      <w:start w:val="1"/>
      <w:numFmt w:val="bullet"/>
      <w:lvlText w:val=""/>
      <w:lvlJc w:val="left"/>
      <w:pPr>
        <w:ind w:left="5040" w:hanging="360"/>
      </w:pPr>
      <w:rPr>
        <w:rFonts w:ascii="Symbol" w:hAnsi="Symbol" w:hint="default"/>
      </w:rPr>
    </w:lvl>
    <w:lvl w:ilvl="7" w:tplc="2EE69DAE" w:tentative="1">
      <w:start w:val="1"/>
      <w:numFmt w:val="bullet"/>
      <w:lvlText w:val="o"/>
      <w:lvlJc w:val="left"/>
      <w:pPr>
        <w:ind w:left="5760" w:hanging="360"/>
      </w:pPr>
      <w:rPr>
        <w:rFonts w:ascii="Courier New" w:hAnsi="Courier New" w:cs="Courier New" w:hint="default"/>
      </w:rPr>
    </w:lvl>
    <w:lvl w:ilvl="8" w:tplc="9C620CC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18"/>
    <w:rsid w:val="00C1063D"/>
    <w:rsid w:val="00F8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31C61-E801-4F97-A207-71FA6EE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C7DF0"/>
    <w:rPr>
      <w:sz w:val="16"/>
      <w:szCs w:val="16"/>
    </w:rPr>
  </w:style>
  <w:style w:type="paragraph" w:styleId="CommentText">
    <w:name w:val="annotation text"/>
    <w:basedOn w:val="Normal"/>
    <w:link w:val="CommentTextChar"/>
    <w:semiHidden/>
    <w:unhideWhenUsed/>
    <w:rsid w:val="00CC7DF0"/>
    <w:rPr>
      <w:sz w:val="20"/>
      <w:szCs w:val="20"/>
    </w:rPr>
  </w:style>
  <w:style w:type="character" w:customStyle="1" w:styleId="CommentTextChar">
    <w:name w:val="Comment Text Char"/>
    <w:basedOn w:val="DefaultParagraphFont"/>
    <w:link w:val="CommentText"/>
    <w:semiHidden/>
    <w:rsid w:val="00CC7DF0"/>
  </w:style>
  <w:style w:type="paragraph" w:styleId="CommentSubject">
    <w:name w:val="annotation subject"/>
    <w:basedOn w:val="CommentText"/>
    <w:next w:val="CommentText"/>
    <w:link w:val="CommentSubjectChar"/>
    <w:semiHidden/>
    <w:unhideWhenUsed/>
    <w:rsid w:val="00CC7DF0"/>
    <w:rPr>
      <w:b/>
      <w:bCs/>
    </w:rPr>
  </w:style>
  <w:style w:type="character" w:customStyle="1" w:styleId="CommentSubjectChar">
    <w:name w:val="Comment Subject Char"/>
    <w:basedOn w:val="CommentTextChar"/>
    <w:link w:val="CommentSubject"/>
    <w:semiHidden/>
    <w:rsid w:val="00CC7DF0"/>
    <w:rPr>
      <w:b/>
      <w:bCs/>
    </w:rPr>
  </w:style>
  <w:style w:type="paragraph" w:styleId="ListParagraph">
    <w:name w:val="List Paragraph"/>
    <w:basedOn w:val="Normal"/>
    <w:uiPriority w:val="34"/>
    <w:qFormat/>
    <w:rsid w:val="00236A49"/>
    <w:pPr>
      <w:ind w:left="720"/>
      <w:contextualSpacing/>
    </w:pPr>
  </w:style>
  <w:style w:type="paragraph" w:styleId="Revision">
    <w:name w:val="Revision"/>
    <w:hidden/>
    <w:uiPriority w:val="99"/>
    <w:semiHidden/>
    <w:rsid w:val="00236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5299</Characters>
  <Application>Microsoft Office Word</Application>
  <DocSecurity>4</DocSecurity>
  <Lines>115</Lines>
  <Paragraphs>34</Paragraphs>
  <ScaleCrop>false</ScaleCrop>
  <HeadingPairs>
    <vt:vector size="2" baseType="variant">
      <vt:variant>
        <vt:lpstr>Title</vt:lpstr>
      </vt:variant>
      <vt:variant>
        <vt:i4>1</vt:i4>
      </vt:variant>
    </vt:vector>
  </HeadingPairs>
  <TitlesOfParts>
    <vt:vector size="1" baseType="lpstr">
      <vt:lpstr>BA - HB00701 (Committee Report (Substituted))</vt:lpstr>
    </vt:vector>
  </TitlesOfParts>
  <Company>State of Texas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27898</dc:subject>
  <dc:creator>State of Texas</dc:creator>
  <dc:description>HB 701 by Lucio III-(H)Business &amp; Industry (Substitute Document Number: 86R 25644)</dc:description>
  <cp:lastModifiedBy>Erin Conway</cp:lastModifiedBy>
  <cp:revision>2</cp:revision>
  <cp:lastPrinted>2019-01-10T16:21:00Z</cp:lastPrinted>
  <dcterms:created xsi:type="dcterms:W3CDTF">2019-04-22T21:55:00Z</dcterms:created>
  <dcterms:modified xsi:type="dcterms:W3CDTF">2019-04-22T21:55:00Z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19.107.837</vt:lpwstr>
  </property>
</Properties>
</file>