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E3C49" w:rsidTr="00345119">
        <w:tc>
          <w:tcPr>
            <w:tcW w:w="9576" w:type="dxa"/>
            <w:noWrap/>
          </w:tcPr>
          <w:p w:rsidR="008423E4" w:rsidRPr="0022177D" w:rsidRDefault="00A644D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644D6" w:rsidP="008423E4">
      <w:pPr>
        <w:jc w:val="center"/>
      </w:pPr>
    </w:p>
    <w:p w:rsidR="008423E4" w:rsidRPr="00B31F0E" w:rsidRDefault="00A644D6" w:rsidP="008423E4"/>
    <w:p w:rsidR="008423E4" w:rsidRPr="00742794" w:rsidRDefault="00A644D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E3C49" w:rsidTr="00345119">
        <w:tc>
          <w:tcPr>
            <w:tcW w:w="9576" w:type="dxa"/>
          </w:tcPr>
          <w:p w:rsidR="008423E4" w:rsidRPr="00861995" w:rsidRDefault="00A644D6" w:rsidP="008C158A">
            <w:pPr>
              <w:jc w:val="right"/>
            </w:pPr>
            <w:r>
              <w:t>C.S.H.B. 702</w:t>
            </w:r>
          </w:p>
        </w:tc>
      </w:tr>
      <w:tr w:rsidR="003E3C49" w:rsidTr="00345119">
        <w:tc>
          <w:tcPr>
            <w:tcW w:w="9576" w:type="dxa"/>
          </w:tcPr>
          <w:p w:rsidR="008423E4" w:rsidRPr="00861995" w:rsidRDefault="00A644D6" w:rsidP="00753518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3E3C49" w:rsidTr="00345119">
        <w:tc>
          <w:tcPr>
            <w:tcW w:w="9576" w:type="dxa"/>
          </w:tcPr>
          <w:p w:rsidR="008423E4" w:rsidRPr="00861995" w:rsidRDefault="00A644D6" w:rsidP="00345119">
            <w:pPr>
              <w:jc w:val="right"/>
            </w:pPr>
            <w:r>
              <w:t>Human Services</w:t>
            </w:r>
          </w:p>
        </w:tc>
      </w:tr>
      <w:tr w:rsidR="003E3C49" w:rsidTr="00345119">
        <w:tc>
          <w:tcPr>
            <w:tcW w:w="9576" w:type="dxa"/>
          </w:tcPr>
          <w:p w:rsidR="008423E4" w:rsidRDefault="00A644D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644D6" w:rsidP="008423E4">
      <w:pPr>
        <w:tabs>
          <w:tab w:val="right" w:pos="9360"/>
        </w:tabs>
      </w:pPr>
    </w:p>
    <w:p w:rsidR="008423E4" w:rsidRDefault="00A644D6" w:rsidP="008423E4"/>
    <w:p w:rsidR="008423E4" w:rsidRDefault="00A644D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E3C49" w:rsidTr="00345119">
        <w:tc>
          <w:tcPr>
            <w:tcW w:w="9576" w:type="dxa"/>
          </w:tcPr>
          <w:p w:rsidR="008423E4" w:rsidRPr="00A8133F" w:rsidRDefault="00A644D6" w:rsidP="005D183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644D6" w:rsidP="005D183B"/>
          <w:p w:rsidR="008423E4" w:rsidRDefault="00A644D6" w:rsidP="005D18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calls for the state to recognize before</w:t>
            </w:r>
            <w:r>
              <w:noBreakHyphen/>
              <w:t>school and after</w:t>
            </w:r>
            <w:r>
              <w:noBreakHyphen/>
            </w:r>
            <w:r>
              <w:t xml:space="preserve">school programs that meet certain criteria for healthy eating and physical activity. </w:t>
            </w:r>
            <w:r>
              <w:t>C.S.</w:t>
            </w:r>
            <w:r>
              <w:t>H.B. 702 seeks to do this by requiring the Health and Human Services Commission to develop a voluntary program for assessing and recognizing such before</w:t>
            </w:r>
            <w:r>
              <w:noBreakHyphen/>
              <w:t>school and aft</w:t>
            </w:r>
            <w:r>
              <w:t>er</w:t>
            </w:r>
            <w:r>
              <w:noBreakHyphen/>
              <w:t xml:space="preserve">school programs. </w:t>
            </w:r>
          </w:p>
          <w:p w:rsidR="008423E4" w:rsidRPr="00E26B13" w:rsidRDefault="00A644D6" w:rsidP="005D183B">
            <w:pPr>
              <w:rPr>
                <w:b/>
              </w:rPr>
            </w:pPr>
          </w:p>
        </w:tc>
      </w:tr>
      <w:tr w:rsidR="003E3C49" w:rsidTr="00345119">
        <w:tc>
          <w:tcPr>
            <w:tcW w:w="9576" w:type="dxa"/>
          </w:tcPr>
          <w:p w:rsidR="0017725B" w:rsidRDefault="00A644D6" w:rsidP="005D183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644D6" w:rsidP="005D183B">
            <w:pPr>
              <w:rPr>
                <w:b/>
                <w:u w:val="single"/>
              </w:rPr>
            </w:pPr>
          </w:p>
          <w:p w:rsidR="00F225E1" w:rsidRPr="00F225E1" w:rsidRDefault="00A644D6" w:rsidP="005D183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A644D6" w:rsidP="005D183B">
            <w:pPr>
              <w:rPr>
                <w:b/>
                <w:u w:val="single"/>
              </w:rPr>
            </w:pPr>
          </w:p>
        </w:tc>
      </w:tr>
      <w:tr w:rsidR="003E3C49" w:rsidTr="00345119">
        <w:tc>
          <w:tcPr>
            <w:tcW w:w="9576" w:type="dxa"/>
          </w:tcPr>
          <w:p w:rsidR="008423E4" w:rsidRPr="00A8133F" w:rsidRDefault="00A644D6" w:rsidP="005D183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644D6" w:rsidP="005D183B"/>
          <w:p w:rsidR="00F225E1" w:rsidRDefault="00A644D6" w:rsidP="005D18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and Human Service</w:t>
            </w:r>
            <w:r>
              <w:t>s</w:t>
            </w:r>
            <w:r>
              <w:t xml:space="preserve"> Commission in SECTION 1</w:t>
            </w:r>
            <w:r>
              <w:t xml:space="preserve"> of this bill.</w:t>
            </w:r>
          </w:p>
          <w:p w:rsidR="008423E4" w:rsidRPr="00E21FDC" w:rsidRDefault="00A644D6" w:rsidP="005D183B">
            <w:pPr>
              <w:rPr>
                <w:b/>
              </w:rPr>
            </w:pPr>
          </w:p>
        </w:tc>
      </w:tr>
      <w:tr w:rsidR="003E3C49" w:rsidTr="00345119">
        <w:tc>
          <w:tcPr>
            <w:tcW w:w="9576" w:type="dxa"/>
          </w:tcPr>
          <w:p w:rsidR="008423E4" w:rsidRPr="00A8133F" w:rsidRDefault="00A644D6" w:rsidP="005D183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644D6" w:rsidP="005D183B"/>
          <w:p w:rsidR="007A2F9B" w:rsidRDefault="00A644D6" w:rsidP="005D18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</w:t>
            </w:r>
            <w:r>
              <w:t>B. 702 amends the Human Resources Code</w:t>
            </w:r>
            <w:r>
              <w:t xml:space="preserve"> to </w:t>
            </w:r>
            <w:r>
              <w:t xml:space="preserve">require the Health and Human Services Commission (HHSC) to </w:t>
            </w:r>
            <w:r w:rsidRPr="00092EA0">
              <w:t>develop a voluntary program for recognizing licensed before-school and after-school program</w:t>
            </w:r>
            <w:r>
              <w:t>s</w:t>
            </w:r>
            <w:r w:rsidRPr="00092EA0">
              <w:t xml:space="preserve"> that promote healthy eating and physical activity</w:t>
            </w:r>
            <w:r>
              <w:t xml:space="preserve"> that</w:t>
            </w:r>
            <w:r>
              <w:t xml:space="preserve"> </w:t>
            </w:r>
            <w:r>
              <w:t>provide</w:t>
            </w:r>
            <w:r>
              <w:t>s</w:t>
            </w:r>
            <w:r>
              <w:t xml:space="preserve"> for </w:t>
            </w:r>
            <w:r>
              <w:t>such a licensed program's</w:t>
            </w:r>
            <w:r>
              <w:t xml:space="preserve"> self-evaluation to determine </w:t>
            </w:r>
            <w:r>
              <w:t>its</w:t>
            </w:r>
            <w:r>
              <w:t xml:space="preserve"> compliance with the </w:t>
            </w:r>
            <w:r>
              <w:t xml:space="preserve">recognition </w:t>
            </w:r>
            <w:r>
              <w:t xml:space="preserve">requirements. </w:t>
            </w:r>
            <w:r>
              <w:t xml:space="preserve">The bill requires </w:t>
            </w:r>
            <w:r w:rsidRPr="00092EA0">
              <w:t>a before</w:t>
            </w:r>
            <w:r>
              <w:noBreakHyphen/>
            </w:r>
            <w:r w:rsidRPr="00092EA0">
              <w:t>school or after</w:t>
            </w:r>
            <w:r>
              <w:noBreakHyphen/>
            </w:r>
            <w:r w:rsidRPr="00092EA0">
              <w:t xml:space="preserve">school program </w:t>
            </w:r>
            <w:r>
              <w:t>seeking</w:t>
            </w:r>
            <w:r w:rsidRPr="00092EA0">
              <w:t xml:space="preserve"> recognition </w:t>
            </w:r>
            <w:r>
              <w:t>to e</w:t>
            </w:r>
            <w:r>
              <w:t xml:space="preserve">valuate </w:t>
            </w:r>
            <w:r>
              <w:t>its</w:t>
            </w:r>
            <w:r w:rsidRPr="00092EA0">
              <w:t xml:space="preserve"> compliance with</w:t>
            </w:r>
            <w:r>
              <w:t xml:space="preserve"> </w:t>
            </w:r>
            <w:r>
              <w:t xml:space="preserve">specified </w:t>
            </w:r>
            <w:r>
              <w:t>requirements</w:t>
            </w:r>
            <w:r>
              <w:t xml:space="preserve">, including staff training, </w:t>
            </w:r>
            <w:r>
              <w:t>opportunities for program attendees to participate in physical activity</w:t>
            </w:r>
            <w:r>
              <w:t>, restricted use of certain entertainment devices, the availability of healthy food</w:t>
            </w:r>
            <w:r>
              <w:t>s</w:t>
            </w:r>
            <w:r>
              <w:t xml:space="preserve"> and beverages, and </w:t>
            </w:r>
            <w:r w:rsidRPr="007A2F9B">
              <w:t>eng</w:t>
            </w:r>
            <w:r w:rsidRPr="007A2F9B">
              <w:t>age</w:t>
            </w:r>
            <w:r>
              <w:t>ment with</w:t>
            </w:r>
            <w:r w:rsidRPr="007A2F9B">
              <w:t xml:space="preserve"> parents, guardians, and caregivers of program attendees.</w:t>
            </w:r>
            <w:r>
              <w:t xml:space="preserve"> The bill requires the staff training requirement to comply with the requirements of the National Institute on Out</w:t>
            </w:r>
            <w:r>
              <w:noBreakHyphen/>
              <w:t>of</w:t>
            </w:r>
            <w:r>
              <w:noBreakHyphen/>
              <w:t>School Time, the Healthy Out</w:t>
            </w:r>
            <w:r>
              <w:noBreakHyphen/>
              <w:t>of</w:t>
            </w:r>
            <w:r>
              <w:noBreakHyphen/>
              <w:t>School Time Coalition, or other simil</w:t>
            </w:r>
            <w:r>
              <w:t xml:space="preserve">ar programs and authorizes the training to be completed in person or online. </w:t>
            </w:r>
          </w:p>
          <w:p w:rsidR="00D072CE" w:rsidRDefault="00A644D6" w:rsidP="005D183B">
            <w:pPr>
              <w:pStyle w:val="Header"/>
              <w:jc w:val="both"/>
            </w:pPr>
          </w:p>
          <w:p w:rsidR="00153DE0" w:rsidRDefault="00A644D6" w:rsidP="005D183B">
            <w:pPr>
              <w:pStyle w:val="Header"/>
              <w:jc w:val="both"/>
            </w:pPr>
            <w:r>
              <w:t>C.S.</w:t>
            </w:r>
            <w:r>
              <w:t xml:space="preserve">H.B. 702 </w:t>
            </w:r>
            <w:r>
              <w:t xml:space="preserve">requires HHSC to </w:t>
            </w:r>
            <w:r>
              <w:t xml:space="preserve">establish bronze, silver, and gold </w:t>
            </w:r>
            <w:r>
              <w:t xml:space="preserve">recognition </w:t>
            </w:r>
            <w:r w:rsidRPr="00666AB5">
              <w:t>levels for</w:t>
            </w:r>
            <w:r>
              <w:t xml:space="preserve"> a</w:t>
            </w:r>
            <w:r w:rsidRPr="00666AB5">
              <w:t xml:space="preserve"> </w:t>
            </w:r>
            <w:r>
              <w:t>before</w:t>
            </w:r>
            <w:r>
              <w:noBreakHyphen/>
              <w:t>school or after</w:t>
            </w:r>
            <w:r>
              <w:noBreakHyphen/>
              <w:t xml:space="preserve">school </w:t>
            </w:r>
            <w:r>
              <w:t>program</w:t>
            </w:r>
            <w:r w:rsidRPr="00666AB5">
              <w:t xml:space="preserve"> applying for recognition under </w:t>
            </w:r>
            <w:r>
              <w:t>the bill's pro</w:t>
            </w:r>
            <w:r>
              <w:t>visi</w:t>
            </w:r>
            <w:r>
              <w:t>ons</w:t>
            </w:r>
            <w:r>
              <w:t xml:space="preserve"> and</w:t>
            </w:r>
            <w:r>
              <w:t xml:space="preserve"> establishes the criteria for achieving those recognition levels</w:t>
            </w:r>
            <w:r>
              <w:t>.</w:t>
            </w:r>
            <w:r>
              <w:t xml:space="preserve"> The bill authorizes a </w:t>
            </w:r>
            <w:r>
              <w:t>before</w:t>
            </w:r>
            <w:r>
              <w:noBreakHyphen/>
              <w:t>school or after</w:t>
            </w:r>
            <w:r>
              <w:noBreakHyphen/>
              <w:t xml:space="preserve">school </w:t>
            </w:r>
            <w:r>
              <w:t>program</w:t>
            </w:r>
            <w:r>
              <w:t xml:space="preserve"> that</w:t>
            </w:r>
            <w:r>
              <w:t xml:space="preserve"> determines</w:t>
            </w:r>
            <w:r>
              <w:t xml:space="preserve"> that </w:t>
            </w:r>
            <w:r>
              <w:t>it</w:t>
            </w:r>
            <w:r>
              <w:t xml:space="preserve"> </w:t>
            </w:r>
            <w:r>
              <w:t xml:space="preserve">meets the requirements for a recognition level to </w:t>
            </w:r>
            <w:r w:rsidRPr="00153DE0">
              <w:t xml:space="preserve">create a corresponding recognition certificate </w:t>
            </w:r>
            <w:r w:rsidRPr="00153DE0">
              <w:t>using a certificate tem</w:t>
            </w:r>
            <w:r>
              <w:t xml:space="preserve">plate created by </w:t>
            </w:r>
            <w:r>
              <w:t>HHSC</w:t>
            </w:r>
            <w:r>
              <w:t xml:space="preserve"> and requires such a program to notify HHSC of the level of recognition for which </w:t>
            </w:r>
            <w:r>
              <w:t>it</w:t>
            </w:r>
            <w:r>
              <w:t xml:space="preserve"> qualifies</w:t>
            </w:r>
            <w:r>
              <w:t xml:space="preserve">. </w:t>
            </w:r>
            <w:r>
              <w:t xml:space="preserve">The bill </w:t>
            </w:r>
            <w:r>
              <w:t xml:space="preserve">establishes </w:t>
            </w:r>
            <w:r>
              <w:t xml:space="preserve">that such a certificate does not expire, </w:t>
            </w:r>
            <w:r>
              <w:t xml:space="preserve">but requires the program </w:t>
            </w:r>
            <w:r>
              <w:t xml:space="preserve">to remove the certificate if </w:t>
            </w:r>
            <w:r>
              <w:t xml:space="preserve">the program no longer meets the recognition requirements. The bill requires a program to notify HHSC of any change in </w:t>
            </w:r>
            <w:r>
              <w:t>its</w:t>
            </w:r>
            <w:r>
              <w:t xml:space="preserve"> recognition level or if the program no longer qualifies for recognition. </w:t>
            </w:r>
          </w:p>
          <w:p w:rsidR="00F225E1" w:rsidRDefault="00A644D6" w:rsidP="005D183B">
            <w:pPr>
              <w:pStyle w:val="Header"/>
              <w:jc w:val="both"/>
            </w:pPr>
          </w:p>
          <w:p w:rsidR="00F225E1" w:rsidRDefault="00A644D6" w:rsidP="005D183B">
            <w:pPr>
              <w:pStyle w:val="Header"/>
              <w:jc w:val="both"/>
            </w:pPr>
            <w:r>
              <w:t>C.S.H.B. 702 requires HHSC to</w:t>
            </w:r>
            <w:r w:rsidRPr="00F225E1">
              <w:t xml:space="preserve"> post information about the re</w:t>
            </w:r>
            <w:r w:rsidRPr="00F225E1">
              <w:t xml:space="preserve">cognition program on the </w:t>
            </w:r>
            <w:r>
              <w:t>HHSC</w:t>
            </w:r>
            <w:r w:rsidRPr="00F225E1">
              <w:t xml:space="preserve"> website</w:t>
            </w:r>
            <w:r>
              <w:t xml:space="preserve">, to maintain a list of each program </w:t>
            </w:r>
            <w:r w:rsidRPr="00F225E1">
              <w:t>that qualifies for recognition under th</w:t>
            </w:r>
            <w:r>
              <w:t xml:space="preserve">e bill's provisions </w:t>
            </w:r>
            <w:r w:rsidRPr="00F225E1">
              <w:t>and post the li</w:t>
            </w:r>
            <w:r>
              <w:t xml:space="preserve">st on the HHSC </w:t>
            </w:r>
            <w:r w:rsidRPr="00F225E1">
              <w:t>website</w:t>
            </w:r>
            <w:r>
              <w:t>,</w:t>
            </w:r>
            <w:r w:rsidRPr="00F225E1">
              <w:t xml:space="preserve"> includ</w:t>
            </w:r>
            <w:r>
              <w:t>ing</w:t>
            </w:r>
            <w:r w:rsidRPr="00F225E1">
              <w:t xml:space="preserve"> </w:t>
            </w:r>
            <w:r>
              <w:t>each</w:t>
            </w:r>
            <w:r w:rsidRPr="00F225E1">
              <w:t xml:space="preserve"> program's recognition level</w:t>
            </w:r>
            <w:r>
              <w:t>, and to update the list at least quarterl</w:t>
            </w:r>
            <w:r>
              <w:t>y to reflect any change in a program's recognition level</w:t>
            </w:r>
            <w:r w:rsidRPr="00F225E1">
              <w:t>.</w:t>
            </w:r>
            <w:r>
              <w:t xml:space="preserve"> </w:t>
            </w:r>
            <w:r>
              <w:t>The bill authorizes the executive commissioner of HHSC to adopt rules to implement the bill's provisions.</w:t>
            </w:r>
          </w:p>
          <w:p w:rsidR="008423E4" w:rsidRPr="00835628" w:rsidRDefault="00A644D6" w:rsidP="005D183B">
            <w:pPr>
              <w:rPr>
                <w:b/>
              </w:rPr>
            </w:pPr>
          </w:p>
        </w:tc>
      </w:tr>
      <w:tr w:rsidR="003E3C49" w:rsidTr="00345119">
        <w:tc>
          <w:tcPr>
            <w:tcW w:w="9576" w:type="dxa"/>
          </w:tcPr>
          <w:p w:rsidR="008423E4" w:rsidRPr="00A8133F" w:rsidRDefault="00A644D6" w:rsidP="005D183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644D6" w:rsidP="005D183B"/>
          <w:p w:rsidR="008423E4" w:rsidRPr="003624F2" w:rsidRDefault="00A644D6" w:rsidP="005D183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61075">
              <w:t>January 1, 2020.</w:t>
            </w:r>
          </w:p>
          <w:p w:rsidR="008423E4" w:rsidRPr="00233FDB" w:rsidRDefault="00A644D6" w:rsidP="005D183B">
            <w:pPr>
              <w:rPr>
                <w:b/>
              </w:rPr>
            </w:pPr>
          </w:p>
        </w:tc>
      </w:tr>
      <w:tr w:rsidR="003E3C49" w:rsidTr="00345119">
        <w:tc>
          <w:tcPr>
            <w:tcW w:w="9576" w:type="dxa"/>
          </w:tcPr>
          <w:p w:rsidR="00753518" w:rsidRDefault="00A644D6" w:rsidP="005D183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8325E" w:rsidRDefault="00A644D6" w:rsidP="005D183B">
            <w:pPr>
              <w:jc w:val="both"/>
            </w:pPr>
          </w:p>
          <w:p w:rsidR="00E8325E" w:rsidRDefault="00A644D6" w:rsidP="005D183B">
            <w:pPr>
              <w:jc w:val="both"/>
            </w:pPr>
            <w:r>
              <w:t xml:space="preserve">While C.S.H.B. </w:t>
            </w:r>
            <w:r>
              <w:t>702 may differ from the original in minor or nonsubstantive ways, the following summarizes the substantial differences between the introduced and committee substitute versions of the bill.</w:t>
            </w:r>
          </w:p>
          <w:p w:rsidR="00E8325E" w:rsidRDefault="00A644D6" w:rsidP="005D183B">
            <w:pPr>
              <w:jc w:val="both"/>
            </w:pPr>
          </w:p>
          <w:p w:rsidR="00EF258F" w:rsidRDefault="00A644D6" w:rsidP="005D183B">
            <w:pPr>
              <w:jc w:val="both"/>
            </w:pPr>
            <w:r>
              <w:t>The substitute does not include a requirement for HHSC to assess a</w:t>
            </w:r>
            <w:r>
              <w:t xml:space="preserve"> before</w:t>
            </w:r>
            <w:r>
              <w:noBreakHyphen/>
              <w:t>school or after</w:t>
            </w:r>
            <w:r>
              <w:noBreakHyphen/>
              <w:t>school program based on compliance with specified requirements</w:t>
            </w:r>
            <w:r>
              <w:t>, but the</w:t>
            </w:r>
            <w:r>
              <w:t xml:space="preserve"> substitute includes a requirement for the recognition program</w:t>
            </w:r>
            <w:r>
              <w:t xml:space="preserve"> instead</w:t>
            </w:r>
            <w:r>
              <w:t xml:space="preserve"> to provide for the self</w:t>
            </w:r>
            <w:r>
              <w:noBreakHyphen/>
              <w:t>evaluation of a before</w:t>
            </w:r>
            <w:r>
              <w:noBreakHyphen/>
              <w:t>school or after</w:t>
            </w:r>
            <w:r>
              <w:noBreakHyphen/>
              <w:t>school program</w:t>
            </w:r>
            <w:r>
              <w:t xml:space="preserve"> to determine its compliance with those requirements.</w:t>
            </w:r>
            <w:r>
              <w:t xml:space="preserve"> </w:t>
            </w:r>
          </w:p>
          <w:p w:rsidR="00051DB3" w:rsidRDefault="00A644D6" w:rsidP="005D183B">
            <w:pPr>
              <w:pStyle w:val="ListParagraph"/>
              <w:spacing w:before="120" w:after="120"/>
              <w:jc w:val="both"/>
            </w:pPr>
          </w:p>
          <w:p w:rsidR="00B400DF" w:rsidRDefault="00A644D6" w:rsidP="005D183B">
            <w:pPr>
              <w:spacing w:before="120" w:after="120"/>
              <w:jc w:val="both"/>
            </w:pPr>
            <w:r>
              <w:t xml:space="preserve">The substitute </w:t>
            </w:r>
            <w:r>
              <w:t xml:space="preserve">does not include </w:t>
            </w:r>
            <w:r>
              <w:t>an authorization for</w:t>
            </w:r>
            <w:r>
              <w:t xml:space="preserve"> HHSC to provide technical assistance to a </w:t>
            </w:r>
            <w:r>
              <w:t>before</w:t>
            </w:r>
            <w:r>
              <w:noBreakHyphen/>
              <w:t>school or after</w:t>
            </w:r>
            <w:r>
              <w:noBreakHyphen/>
              <w:t xml:space="preserve">school </w:t>
            </w:r>
            <w:r>
              <w:t>program seeking to advance to a higher recognition level</w:t>
            </w:r>
            <w:r>
              <w:t>.</w:t>
            </w:r>
            <w:r>
              <w:t xml:space="preserve"> </w:t>
            </w:r>
            <w:r>
              <w:t>The substitute in</w:t>
            </w:r>
            <w:r>
              <w:t xml:space="preserve">cludes a requirement for </w:t>
            </w:r>
            <w:r>
              <w:t xml:space="preserve">such </w:t>
            </w:r>
            <w:r>
              <w:t xml:space="preserve">a program that determines it meets the requirements for a recognition level to notify HHSC of that level. </w:t>
            </w:r>
          </w:p>
          <w:p w:rsidR="00B400DF" w:rsidRDefault="00A644D6" w:rsidP="005D183B">
            <w:pPr>
              <w:spacing w:before="120" w:after="120"/>
              <w:jc w:val="both"/>
            </w:pPr>
          </w:p>
          <w:p w:rsidR="006E2DE2" w:rsidRDefault="00A644D6" w:rsidP="005D183B">
            <w:pPr>
              <w:spacing w:before="120" w:after="120"/>
              <w:jc w:val="both"/>
            </w:pPr>
            <w:r>
              <w:t>The substitute</w:t>
            </w:r>
            <w:r>
              <w:t xml:space="preserve"> </w:t>
            </w:r>
            <w:r>
              <w:t xml:space="preserve">does not include a provision setting a recognition certificate to expire and providing for certificate </w:t>
            </w:r>
            <w:r>
              <w:t xml:space="preserve">renewal. The substitute includes </w:t>
            </w:r>
            <w:r>
              <w:t xml:space="preserve">instead </w:t>
            </w:r>
            <w:r>
              <w:t xml:space="preserve">provisions establishing that such a certificate does not expire, providing for the removal of the certificate if </w:t>
            </w:r>
            <w:r>
              <w:t xml:space="preserve">the </w:t>
            </w:r>
            <w:r>
              <w:t>program no longer meets recognition requirements, and requiring notice to HHSC of any change in th</w:t>
            </w:r>
            <w:r>
              <w:t xml:space="preserve">e </w:t>
            </w:r>
            <w:r>
              <w:t xml:space="preserve">program's recognition level or if the program no longer qualifies for recognition. </w:t>
            </w:r>
          </w:p>
          <w:p w:rsidR="006E2DE2" w:rsidRDefault="00A644D6" w:rsidP="005D183B">
            <w:pPr>
              <w:spacing w:before="120" w:after="120"/>
              <w:jc w:val="both"/>
            </w:pPr>
          </w:p>
          <w:p w:rsidR="00051DB3" w:rsidRDefault="00A644D6" w:rsidP="005D183B">
            <w:pPr>
              <w:spacing w:before="120" w:after="120"/>
              <w:jc w:val="both"/>
            </w:pPr>
            <w:r>
              <w:t xml:space="preserve">The substitute </w:t>
            </w:r>
            <w:r>
              <w:t xml:space="preserve">includes a </w:t>
            </w:r>
            <w:r>
              <w:t>require</w:t>
            </w:r>
            <w:r>
              <w:t>ment for</w:t>
            </w:r>
            <w:r>
              <w:t xml:space="preserve"> HHSC to update the list of program</w:t>
            </w:r>
            <w:r>
              <w:t>s</w:t>
            </w:r>
            <w:r>
              <w:t xml:space="preserve"> that qualif</w:t>
            </w:r>
            <w:r>
              <w:t>y</w:t>
            </w:r>
            <w:r>
              <w:t xml:space="preserve"> for recognition at least quarterly</w:t>
            </w:r>
            <w:r>
              <w:t xml:space="preserve"> to reflect any change in a program's recognition level</w:t>
            </w:r>
            <w:r>
              <w:t xml:space="preserve">. </w:t>
            </w:r>
          </w:p>
          <w:p w:rsidR="00E8325E" w:rsidRPr="00E8325E" w:rsidRDefault="00A644D6" w:rsidP="005D183B">
            <w:pPr>
              <w:jc w:val="both"/>
            </w:pPr>
          </w:p>
        </w:tc>
      </w:tr>
      <w:tr w:rsidR="003E3C49" w:rsidTr="00345119">
        <w:tc>
          <w:tcPr>
            <w:tcW w:w="9576" w:type="dxa"/>
          </w:tcPr>
          <w:p w:rsidR="00753518" w:rsidRPr="009C1E9A" w:rsidRDefault="00A644D6" w:rsidP="005D183B">
            <w:pPr>
              <w:rPr>
                <w:b/>
                <w:u w:val="single"/>
              </w:rPr>
            </w:pPr>
          </w:p>
        </w:tc>
      </w:tr>
      <w:tr w:rsidR="003E3C49" w:rsidTr="00345119">
        <w:tc>
          <w:tcPr>
            <w:tcW w:w="9576" w:type="dxa"/>
          </w:tcPr>
          <w:p w:rsidR="00753518" w:rsidRPr="00753518" w:rsidRDefault="00A644D6" w:rsidP="005D183B">
            <w:pPr>
              <w:jc w:val="both"/>
            </w:pPr>
          </w:p>
        </w:tc>
      </w:tr>
    </w:tbl>
    <w:p w:rsidR="008423E4" w:rsidRPr="00BE0E75" w:rsidRDefault="00A644D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644D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44D6">
      <w:r>
        <w:separator/>
      </w:r>
    </w:p>
  </w:endnote>
  <w:endnote w:type="continuationSeparator" w:id="0">
    <w:p w:rsidR="00000000" w:rsidRDefault="00A6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4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E3C49" w:rsidTr="009C1E9A">
      <w:trPr>
        <w:cantSplit/>
      </w:trPr>
      <w:tc>
        <w:tcPr>
          <w:tcW w:w="0" w:type="pct"/>
        </w:tcPr>
        <w:p w:rsidR="00137D90" w:rsidRDefault="00A644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644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644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644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644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3C49" w:rsidTr="009C1E9A">
      <w:trPr>
        <w:cantSplit/>
      </w:trPr>
      <w:tc>
        <w:tcPr>
          <w:tcW w:w="0" w:type="pct"/>
        </w:tcPr>
        <w:p w:rsidR="00EC379B" w:rsidRDefault="00A644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644D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28009</w:t>
          </w:r>
        </w:p>
      </w:tc>
      <w:tc>
        <w:tcPr>
          <w:tcW w:w="2453" w:type="pct"/>
        </w:tcPr>
        <w:p w:rsidR="00EC379B" w:rsidRDefault="00A644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19.107.998</w:t>
          </w:r>
          <w:r>
            <w:fldChar w:fldCharType="end"/>
          </w:r>
        </w:p>
      </w:tc>
    </w:tr>
    <w:tr w:rsidR="003E3C49" w:rsidTr="009C1E9A">
      <w:trPr>
        <w:cantSplit/>
      </w:trPr>
      <w:tc>
        <w:tcPr>
          <w:tcW w:w="0" w:type="pct"/>
        </w:tcPr>
        <w:p w:rsidR="00EC379B" w:rsidRDefault="00A644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644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24817</w:t>
          </w:r>
        </w:p>
      </w:tc>
      <w:tc>
        <w:tcPr>
          <w:tcW w:w="2453" w:type="pct"/>
        </w:tcPr>
        <w:p w:rsidR="00EC379B" w:rsidRDefault="00A644D6" w:rsidP="006D504F">
          <w:pPr>
            <w:pStyle w:val="Footer"/>
            <w:rPr>
              <w:rStyle w:val="PageNumber"/>
            </w:rPr>
          </w:pPr>
        </w:p>
        <w:p w:rsidR="00EC379B" w:rsidRDefault="00A644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3C4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644D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644D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644D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4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44D6">
      <w:r>
        <w:separator/>
      </w:r>
    </w:p>
  </w:footnote>
  <w:footnote w:type="continuationSeparator" w:id="0">
    <w:p w:rsidR="00000000" w:rsidRDefault="00A64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4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4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4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91271"/>
    <w:multiLevelType w:val="hybridMultilevel"/>
    <w:tmpl w:val="5FD291C4"/>
    <w:lvl w:ilvl="0" w:tplc="8EE67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07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C5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87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0AB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0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C4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69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766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F5084"/>
    <w:multiLevelType w:val="hybridMultilevel"/>
    <w:tmpl w:val="514083BA"/>
    <w:lvl w:ilvl="0" w:tplc="70DE6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A9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D231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EAD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82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2A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42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AA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89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49"/>
    <w:rsid w:val="003E3C49"/>
    <w:rsid w:val="00A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2231F3-0C6F-480E-8C06-0B51DE79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225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2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25E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2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25E1"/>
    <w:rPr>
      <w:b/>
      <w:bCs/>
    </w:rPr>
  </w:style>
  <w:style w:type="character" w:styleId="Hyperlink">
    <w:name w:val="Hyperlink"/>
    <w:basedOn w:val="DefaultParagraphFont"/>
    <w:unhideWhenUsed/>
    <w:rsid w:val="009345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25E"/>
    <w:pPr>
      <w:ind w:left="720"/>
      <w:contextualSpacing/>
    </w:pPr>
  </w:style>
  <w:style w:type="paragraph" w:styleId="Revision">
    <w:name w:val="Revision"/>
    <w:hidden/>
    <w:uiPriority w:val="99"/>
    <w:semiHidden/>
    <w:rsid w:val="00785E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4245</Characters>
  <Application>Microsoft Office Word</Application>
  <DocSecurity>4</DocSecurity>
  <Lines>94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HB00702 (Committee Report (Substituted))</vt:lpstr>
    </vt:vector>
  </TitlesOfParts>
  <Company>State of Texas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28009</dc:subject>
  <dc:creator>State of Texas</dc:creator>
  <dc:description>HB 702 by Lucio III-(H)Human Services (Substitute Document Number: 86R 24817)</dc:description>
  <cp:lastModifiedBy>Stacey Nicchio</cp:lastModifiedBy>
  <cp:revision>2</cp:revision>
  <cp:lastPrinted>2003-11-26T17:21:00Z</cp:lastPrinted>
  <dcterms:created xsi:type="dcterms:W3CDTF">2019-04-23T22:37:00Z</dcterms:created>
  <dcterms:modified xsi:type="dcterms:W3CDTF">2019-04-23T22:37:00Z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19.107.998</vt:lpwstr>
  </property>
</Properties>
</file>