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60BF" w:rsidTr="00345119">
        <w:tc>
          <w:tcPr>
            <w:tcW w:w="9576" w:type="dxa"/>
            <w:noWrap/>
          </w:tcPr>
          <w:p w:rsidR="008423E4" w:rsidRPr="0022177D" w:rsidRDefault="0079537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9537A" w:rsidP="008423E4">
      <w:pPr>
        <w:jc w:val="center"/>
      </w:pPr>
    </w:p>
    <w:p w:rsidR="008423E4" w:rsidRPr="00B31F0E" w:rsidRDefault="0079537A" w:rsidP="008423E4"/>
    <w:p w:rsidR="008423E4" w:rsidRPr="00742794" w:rsidRDefault="0079537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60BF" w:rsidTr="00345119">
        <w:tc>
          <w:tcPr>
            <w:tcW w:w="9576" w:type="dxa"/>
          </w:tcPr>
          <w:p w:rsidR="008423E4" w:rsidRPr="00861995" w:rsidRDefault="0079537A" w:rsidP="00345119">
            <w:pPr>
              <w:jc w:val="right"/>
            </w:pPr>
            <w:r>
              <w:t>C.S.H.B. 721</w:t>
            </w:r>
          </w:p>
        </w:tc>
      </w:tr>
      <w:tr w:rsidR="00B260BF" w:rsidTr="00345119">
        <w:tc>
          <w:tcPr>
            <w:tcW w:w="9576" w:type="dxa"/>
          </w:tcPr>
          <w:p w:rsidR="008423E4" w:rsidRPr="00861995" w:rsidRDefault="0079537A" w:rsidP="00B55B26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B260BF" w:rsidTr="00345119">
        <w:tc>
          <w:tcPr>
            <w:tcW w:w="9576" w:type="dxa"/>
          </w:tcPr>
          <w:p w:rsidR="008423E4" w:rsidRPr="00861995" w:rsidRDefault="0079537A" w:rsidP="00345119">
            <w:pPr>
              <w:jc w:val="right"/>
            </w:pPr>
            <w:r>
              <w:t>Natural Resources</w:t>
            </w:r>
          </w:p>
        </w:tc>
      </w:tr>
      <w:tr w:rsidR="00B260BF" w:rsidTr="00345119">
        <w:tc>
          <w:tcPr>
            <w:tcW w:w="9576" w:type="dxa"/>
          </w:tcPr>
          <w:p w:rsidR="008423E4" w:rsidRDefault="0079537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9537A" w:rsidP="008423E4">
      <w:pPr>
        <w:tabs>
          <w:tab w:val="right" w:pos="9360"/>
        </w:tabs>
      </w:pPr>
    </w:p>
    <w:p w:rsidR="008423E4" w:rsidRDefault="0079537A" w:rsidP="008423E4"/>
    <w:p w:rsidR="008423E4" w:rsidRDefault="0079537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60BF" w:rsidTr="00345119">
        <w:tc>
          <w:tcPr>
            <w:tcW w:w="9576" w:type="dxa"/>
          </w:tcPr>
          <w:p w:rsidR="008423E4" w:rsidRPr="00A8133F" w:rsidRDefault="0079537A" w:rsidP="000A751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9537A" w:rsidP="000A7518"/>
          <w:p w:rsidR="008423E4" w:rsidRDefault="0079537A" w:rsidP="000A75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Texas has fallen far behind other states in developing aquifer storage and recovery projects. </w:t>
            </w:r>
            <w:r>
              <w:t xml:space="preserve">There have been calls to increase the availability of </w:t>
            </w:r>
            <w:r>
              <w:t>information</w:t>
            </w:r>
            <w:r>
              <w:t xml:space="preserve"> </w:t>
            </w:r>
            <w:r>
              <w:t xml:space="preserve">about </w:t>
            </w:r>
            <w:r>
              <w:t xml:space="preserve">these projects </w:t>
            </w:r>
            <w:r>
              <w:t>to enable the</w:t>
            </w:r>
            <w:r>
              <w:t xml:space="preserve"> state to take advantage of the </w:t>
            </w:r>
            <w:r>
              <w:t xml:space="preserve">associated </w:t>
            </w:r>
            <w:r>
              <w:t>benefits, such as improvement</w:t>
            </w:r>
            <w:r>
              <w:t>s</w:t>
            </w:r>
            <w:r>
              <w:t xml:space="preserve"> in water quality </w:t>
            </w:r>
            <w:r>
              <w:t>and s</w:t>
            </w:r>
            <w:r>
              <w:t>upply and benefits related to</w:t>
            </w:r>
            <w:r>
              <w:t xml:space="preserve"> flood mitigation and subsidenc</w:t>
            </w:r>
            <w:r>
              <w:t>e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721</w:t>
            </w:r>
            <w:r>
              <w:t xml:space="preserve"> seeks to address this issue by</w:t>
            </w:r>
            <w:r>
              <w:t xml:space="preserve"> provid</w:t>
            </w:r>
            <w:r>
              <w:t>ing</w:t>
            </w:r>
            <w:r>
              <w:t xml:space="preserve"> for a </w:t>
            </w:r>
            <w:r>
              <w:t>survey</w:t>
            </w:r>
            <w:r>
              <w:t xml:space="preserve"> of the suitability of </w:t>
            </w:r>
            <w:r>
              <w:t xml:space="preserve">the state's </w:t>
            </w:r>
            <w:r>
              <w:t>major and minor aquifers for use in aquifer storage and recovery projects</w:t>
            </w:r>
            <w:r>
              <w:t xml:space="preserve"> or aquifer recharge projects</w:t>
            </w:r>
            <w:r>
              <w:t>.</w:t>
            </w:r>
          </w:p>
          <w:p w:rsidR="008423E4" w:rsidRPr="00E26B13" w:rsidRDefault="0079537A" w:rsidP="000A7518">
            <w:pPr>
              <w:rPr>
                <w:b/>
              </w:rPr>
            </w:pPr>
          </w:p>
        </w:tc>
      </w:tr>
      <w:tr w:rsidR="00B260BF" w:rsidTr="00345119">
        <w:tc>
          <w:tcPr>
            <w:tcW w:w="9576" w:type="dxa"/>
          </w:tcPr>
          <w:p w:rsidR="0017725B" w:rsidRDefault="0079537A" w:rsidP="000A75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9537A" w:rsidP="000A7518">
            <w:pPr>
              <w:rPr>
                <w:b/>
                <w:u w:val="single"/>
              </w:rPr>
            </w:pPr>
          </w:p>
          <w:p w:rsidR="00ED7FE5" w:rsidRPr="00ED7FE5" w:rsidRDefault="0079537A" w:rsidP="000A7518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9537A" w:rsidP="000A7518">
            <w:pPr>
              <w:rPr>
                <w:b/>
                <w:u w:val="single"/>
              </w:rPr>
            </w:pPr>
          </w:p>
        </w:tc>
      </w:tr>
      <w:tr w:rsidR="00B260BF" w:rsidTr="00345119">
        <w:tc>
          <w:tcPr>
            <w:tcW w:w="9576" w:type="dxa"/>
          </w:tcPr>
          <w:p w:rsidR="008423E4" w:rsidRPr="00A8133F" w:rsidRDefault="0079537A" w:rsidP="000A751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:rsidR="008423E4" w:rsidRDefault="0079537A" w:rsidP="000A7518"/>
          <w:p w:rsidR="00ED7FE5" w:rsidRDefault="0079537A" w:rsidP="000A75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9537A" w:rsidP="000A7518">
            <w:pPr>
              <w:rPr>
                <w:b/>
              </w:rPr>
            </w:pPr>
          </w:p>
        </w:tc>
      </w:tr>
      <w:tr w:rsidR="00B260BF" w:rsidTr="00345119">
        <w:tc>
          <w:tcPr>
            <w:tcW w:w="9576" w:type="dxa"/>
          </w:tcPr>
          <w:p w:rsidR="008423E4" w:rsidRDefault="0079537A" w:rsidP="000A751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0A7518" w:rsidRPr="002818F0" w:rsidRDefault="0079537A" w:rsidP="000A7518">
            <w:pPr>
              <w:rPr>
                <w:b/>
              </w:rPr>
            </w:pPr>
          </w:p>
          <w:p w:rsidR="004F1780" w:rsidRDefault="0079537A" w:rsidP="000A7518">
            <w:pPr>
              <w:pStyle w:val="Header"/>
              <w:jc w:val="both"/>
            </w:pPr>
            <w:r w:rsidRPr="002818F0">
              <w:t>C.S.</w:t>
            </w:r>
            <w:r>
              <w:t>H.B. 721 amends the Water Code to</w:t>
            </w:r>
            <w:r>
              <w:t xml:space="preserve"> revise the requirement that the Texas Water Development Board (TWDB) make </w:t>
            </w:r>
            <w:r w:rsidRPr="00DE5E7E">
              <w:t xml:space="preserve">studies, investigations, and surveys of the aquifers in </w:t>
            </w:r>
            <w:r>
              <w:t xml:space="preserve">Texas by removing the specification that the TWDB make </w:t>
            </w:r>
            <w:r>
              <w:t>the</w:t>
            </w:r>
            <w:r>
              <w:t xml:space="preserve"> studies, investigations, and surveys as the TWDB considers necessa</w:t>
            </w:r>
            <w:r>
              <w:t>ry and</w:t>
            </w:r>
            <w:r>
              <w:t xml:space="preserve"> by</w:t>
            </w:r>
            <w:r>
              <w:t xml:space="preserve"> </w:t>
            </w:r>
            <w:r>
              <w:t xml:space="preserve">changing </w:t>
            </w:r>
            <w:r>
              <w:t xml:space="preserve">the purpose for the studies, investigations, and surveys from </w:t>
            </w:r>
            <w:r>
              <w:t>determining</w:t>
            </w:r>
            <w:r w:rsidRPr="00DE5E7E">
              <w:t xml:space="preserve"> the occurrence, quantity, quality, and availability of aquifers in which water may be stored and subsequently retrieved for beneficial use</w:t>
            </w:r>
            <w:r>
              <w:t xml:space="preserve"> to </w:t>
            </w:r>
            <w:r>
              <w:t>determining</w:t>
            </w:r>
            <w:r>
              <w:t xml:space="preserve"> </w:t>
            </w:r>
            <w:r w:rsidRPr="00DE5E7E">
              <w:t>the occur</w:t>
            </w:r>
            <w:r w:rsidRPr="00DE5E7E">
              <w:t>rence, quantity, quality, and availability of aquifers in which aquifer storage and recovery projects or aquifer recharge projects are feasible</w:t>
            </w:r>
            <w:r>
              <w:t xml:space="preserve">. The bill </w:t>
            </w:r>
            <w:r>
              <w:t>re</w:t>
            </w:r>
            <w:r>
              <w:t>move</w:t>
            </w:r>
            <w:r>
              <w:t>s</w:t>
            </w:r>
            <w:r>
              <w:t xml:space="preserve"> </w:t>
            </w:r>
            <w:r>
              <w:t xml:space="preserve">a provision that specifies </w:t>
            </w:r>
            <w:r>
              <w:t>the</w:t>
            </w:r>
            <w:r>
              <w:t xml:space="preserve"> order of priority </w:t>
            </w:r>
            <w:r>
              <w:t>in</w:t>
            </w:r>
            <w:r>
              <w:t xml:space="preserve"> which </w:t>
            </w:r>
            <w:r>
              <w:t xml:space="preserve">the </w:t>
            </w:r>
            <w:r>
              <w:t>TWDB</w:t>
            </w:r>
            <w:r>
              <w:t xml:space="preserve"> </w:t>
            </w:r>
            <w:r>
              <w:t xml:space="preserve">is required to </w:t>
            </w:r>
            <w:r>
              <w:t xml:space="preserve">undertake </w:t>
            </w:r>
            <w:r>
              <w:t>the</w:t>
            </w:r>
            <w:r>
              <w:t xml:space="preserve"> studies, investigations, and surveys</w:t>
            </w:r>
            <w:r>
              <w:t xml:space="preserve">. </w:t>
            </w:r>
          </w:p>
          <w:p w:rsidR="004F1780" w:rsidRDefault="0079537A" w:rsidP="000A7518">
            <w:pPr>
              <w:pStyle w:val="Header"/>
              <w:jc w:val="both"/>
            </w:pPr>
          </w:p>
          <w:p w:rsidR="008423E4" w:rsidRDefault="0079537A" w:rsidP="000A7518">
            <w:pPr>
              <w:pStyle w:val="Header"/>
              <w:jc w:val="both"/>
            </w:pPr>
            <w:r>
              <w:t xml:space="preserve">C.S.H.B. 721 </w:t>
            </w:r>
            <w:r>
              <w:t>require</w:t>
            </w:r>
            <w:r>
              <w:t>s</w:t>
            </w:r>
            <w:r>
              <w:t xml:space="preserve"> the TWDB</w:t>
            </w:r>
            <w:r w:rsidRPr="00DD5F14">
              <w:t>, working with appropriate interested persons</w:t>
            </w:r>
            <w:r>
              <w:t>,</w:t>
            </w:r>
            <w:r w:rsidRPr="00DD5F14">
              <w:t xml:space="preserve"> including river authorities and major water providers and water utilities, regional water planning groups, </w:t>
            </w:r>
            <w:r>
              <w:t>groundwater conservation dis</w:t>
            </w:r>
            <w:r>
              <w:t>tricts</w:t>
            </w:r>
            <w:r>
              <w:t>,</w:t>
            </w:r>
            <w:r>
              <w:t xml:space="preserve"> </w:t>
            </w:r>
            <w:r w:rsidRPr="00DD5F14">
              <w:t>and potential</w:t>
            </w:r>
            <w:r>
              <w:t xml:space="preserve"> public</w:t>
            </w:r>
            <w:r w:rsidRPr="00DD5F14">
              <w:t xml:space="preserve"> sponsors of aquifer storage and recovery projects</w:t>
            </w:r>
            <w:r>
              <w:t xml:space="preserve"> or aquifer recharge projects</w:t>
            </w:r>
            <w:r w:rsidRPr="00DD5F14">
              <w:t>,</w:t>
            </w:r>
            <w:r>
              <w:t xml:space="preserve"> to conduct studies of aquifer storage and recovery projects</w:t>
            </w:r>
            <w:r>
              <w:t xml:space="preserve"> and aquifer recharge </w:t>
            </w:r>
            <w:r>
              <w:t>projects</w:t>
            </w:r>
            <w:r>
              <w:t xml:space="preserve"> identified in the state water plan or by interested perso</w:t>
            </w:r>
            <w:r>
              <w:t xml:space="preserve">ns and </w:t>
            </w:r>
            <w:r>
              <w:t xml:space="preserve">to </w:t>
            </w:r>
            <w:r>
              <w:t xml:space="preserve">report the results of each </w:t>
            </w:r>
            <w:r>
              <w:t>such</w:t>
            </w:r>
            <w:r>
              <w:t xml:space="preserve"> </w:t>
            </w:r>
            <w:r>
              <w:t>study to regional water planning groups and interested persons.</w:t>
            </w:r>
          </w:p>
          <w:p w:rsidR="00DD5F14" w:rsidRDefault="0079537A" w:rsidP="000A7518">
            <w:pPr>
              <w:pStyle w:val="Header"/>
              <w:jc w:val="both"/>
            </w:pPr>
          </w:p>
          <w:p w:rsidR="004F1780" w:rsidRDefault="0079537A" w:rsidP="000A7518">
            <w:pPr>
              <w:pStyle w:val="Header"/>
              <w:spacing w:before="120"/>
              <w:jc w:val="both"/>
            </w:pPr>
            <w:r w:rsidRPr="002818F0">
              <w:t>C.S.</w:t>
            </w:r>
            <w:r>
              <w:t xml:space="preserve">H.B. 721 </w:t>
            </w:r>
            <w:r>
              <w:t>requires the TWD</w:t>
            </w:r>
            <w:r>
              <w:t>B</w:t>
            </w:r>
            <w:r>
              <w:t xml:space="preserve"> to conduct a statewide survey to identify the relative suitability of various major and minor aquifers for use in aqui</w:t>
            </w:r>
            <w:r>
              <w:t xml:space="preserve">fer storage and recovery projects </w:t>
            </w:r>
            <w:r>
              <w:t xml:space="preserve">or aquifer recharge projects </w:t>
            </w:r>
            <w:r>
              <w:t xml:space="preserve">based on consideration of </w:t>
            </w:r>
            <w:r>
              <w:t xml:space="preserve">the following factors: </w:t>
            </w:r>
          </w:p>
          <w:p w:rsidR="004F1780" w:rsidRDefault="0079537A" w:rsidP="000A751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h</w:t>
            </w:r>
            <w:r>
              <w:t>ydrogeological characteristics</w:t>
            </w:r>
            <w:r>
              <w:t>,</w:t>
            </w:r>
            <w:r>
              <w:t xml:space="preserve"> </w:t>
            </w:r>
            <w:r>
              <w:t xml:space="preserve">with </w:t>
            </w:r>
            <w:r>
              <w:t>certain</w:t>
            </w:r>
            <w:r>
              <w:t xml:space="preserve"> focus</w:t>
            </w:r>
            <w:r>
              <w:t>es;</w:t>
            </w:r>
            <w:r>
              <w:t xml:space="preserve"> </w:t>
            </w:r>
          </w:p>
          <w:p w:rsidR="004F1780" w:rsidRDefault="0079537A" w:rsidP="000A7518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>the frequency, volume, and distance from excess water available for potential storage</w:t>
            </w:r>
            <w:r>
              <w:t>;</w:t>
            </w:r>
            <w:r>
              <w:t xml:space="preserve"> </w:t>
            </w:r>
            <w:r>
              <w:t xml:space="preserve">and </w:t>
            </w:r>
          </w:p>
          <w:p w:rsidR="004F1780" w:rsidRDefault="0079537A" w:rsidP="000A7518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>the current and future water supply needs identified in the state water plan</w:t>
            </w:r>
            <w:r>
              <w:t xml:space="preserve">. </w:t>
            </w:r>
          </w:p>
          <w:p w:rsidR="00DD5F14" w:rsidRDefault="0079537A" w:rsidP="000A7518">
            <w:pPr>
              <w:pStyle w:val="Header"/>
              <w:spacing w:before="120"/>
              <w:jc w:val="both"/>
            </w:pPr>
            <w:r>
              <w:t>The bill requires the TWDB</w:t>
            </w:r>
            <w:r>
              <w:t xml:space="preserve"> to prepare a report that includes an overview of the survey and</w:t>
            </w:r>
            <w:r>
              <w:t>,</w:t>
            </w:r>
            <w:r>
              <w:t xml:space="preserve"> not later than December 15, 2020, </w:t>
            </w:r>
            <w:r>
              <w:t xml:space="preserve">to </w:t>
            </w:r>
            <w:r>
              <w:t>submit the report to the governor, lieutena</w:t>
            </w:r>
            <w:r>
              <w:t>nt governor, and speaker of the house of representatives. The</w:t>
            </w:r>
            <w:r>
              <w:t>se</w:t>
            </w:r>
            <w:r>
              <w:t xml:space="preserve"> provisions </w:t>
            </w:r>
            <w:r>
              <w:t xml:space="preserve">relating to the survey and report </w:t>
            </w:r>
            <w:r>
              <w:t>expire January 1, 2021.</w:t>
            </w:r>
          </w:p>
          <w:p w:rsidR="008423E4" w:rsidRPr="00835628" w:rsidRDefault="0079537A" w:rsidP="000A7518">
            <w:pPr>
              <w:rPr>
                <w:b/>
              </w:rPr>
            </w:pPr>
          </w:p>
        </w:tc>
      </w:tr>
      <w:tr w:rsidR="00B260BF" w:rsidTr="00345119">
        <w:tc>
          <w:tcPr>
            <w:tcW w:w="9576" w:type="dxa"/>
          </w:tcPr>
          <w:p w:rsidR="008423E4" w:rsidRPr="00A8133F" w:rsidRDefault="0079537A" w:rsidP="000A75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9537A" w:rsidP="000A7518"/>
          <w:p w:rsidR="008423E4" w:rsidRPr="003624F2" w:rsidRDefault="0079537A" w:rsidP="000A75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9537A" w:rsidP="000A7518">
            <w:pPr>
              <w:rPr>
                <w:b/>
              </w:rPr>
            </w:pPr>
          </w:p>
        </w:tc>
      </w:tr>
      <w:tr w:rsidR="00B260BF" w:rsidTr="00345119">
        <w:tc>
          <w:tcPr>
            <w:tcW w:w="9576" w:type="dxa"/>
          </w:tcPr>
          <w:p w:rsidR="002818F0" w:rsidRDefault="0079537A" w:rsidP="000A75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0A7518" w:rsidRPr="002818F0" w:rsidRDefault="0079537A" w:rsidP="000A7518">
            <w:pPr>
              <w:jc w:val="both"/>
              <w:rPr>
                <w:b/>
                <w:u w:val="single"/>
              </w:rPr>
            </w:pPr>
          </w:p>
          <w:p w:rsidR="002818F0" w:rsidRDefault="0079537A" w:rsidP="000A7518">
            <w:pPr>
              <w:jc w:val="both"/>
            </w:pPr>
            <w:r>
              <w:t>While C.S.H.B. 721 may differ from the original in minor or nonsubstantive ways, the following summarizes the substantial differences between the introduced and committee substitute versions of the bill.</w:t>
            </w:r>
          </w:p>
          <w:p w:rsidR="002818F0" w:rsidRDefault="0079537A" w:rsidP="000A7518">
            <w:pPr>
              <w:jc w:val="both"/>
            </w:pPr>
          </w:p>
          <w:p w:rsidR="005B1F86" w:rsidRDefault="0079537A" w:rsidP="000A7518">
            <w:pPr>
              <w:jc w:val="both"/>
            </w:pPr>
            <w:r w:rsidRPr="00021E45">
              <w:t>The substitute expands the</w:t>
            </w:r>
            <w:r w:rsidRPr="00021E45">
              <w:t xml:space="preserve"> bill's scope to include the study of and survey for aquifer recharge projects.</w:t>
            </w:r>
            <w:r w:rsidRPr="001B5569">
              <w:t xml:space="preserve"> </w:t>
            </w:r>
            <w:r w:rsidRPr="00550351">
              <w:t>The substitute</w:t>
            </w:r>
            <w:r w:rsidRPr="00550351">
              <w:t xml:space="preserve"> include</w:t>
            </w:r>
            <w:r>
              <w:t>s</w:t>
            </w:r>
            <w:r w:rsidRPr="00021E45">
              <w:t xml:space="preserve"> provisions providing for applicable</w:t>
            </w:r>
            <w:r w:rsidRPr="008927B5">
              <w:t xml:space="preserve"> definitions</w:t>
            </w:r>
            <w:r w:rsidRPr="00021E45">
              <w:t xml:space="preserve"> of "aquifer recharge project" and "aquifer storage and recovery project</w:t>
            </w:r>
            <w:r w:rsidRPr="008927B5">
              <w:t>."</w:t>
            </w:r>
            <w:r w:rsidRPr="008927B5">
              <w:t xml:space="preserve"> </w:t>
            </w:r>
          </w:p>
          <w:p w:rsidR="005B1F86" w:rsidRDefault="0079537A" w:rsidP="000A7518">
            <w:pPr>
              <w:jc w:val="both"/>
            </w:pPr>
          </w:p>
          <w:p w:rsidR="005B1F86" w:rsidRDefault="0079537A" w:rsidP="000A7518">
            <w:pPr>
              <w:jc w:val="both"/>
            </w:pPr>
            <w:r w:rsidRPr="001B5569">
              <w:t xml:space="preserve">The substitute includes </w:t>
            </w:r>
            <w:r>
              <w:t>a</w:t>
            </w:r>
            <w:r w:rsidRPr="00021E45">
              <w:t xml:space="preserve"> re</w:t>
            </w:r>
            <w:r w:rsidRPr="00021E45">
              <w:t>vision of the requirement that the TWDB</w:t>
            </w:r>
            <w:r w:rsidRPr="008927B5">
              <w:t xml:space="preserve"> make certain</w:t>
            </w:r>
            <w:r w:rsidRPr="001B5569">
              <w:t xml:space="preserve"> studies, investigations, and surveys of the aquifers in Texas. </w:t>
            </w:r>
          </w:p>
          <w:p w:rsidR="005B1F86" w:rsidRDefault="0079537A" w:rsidP="000A7518">
            <w:pPr>
              <w:jc w:val="both"/>
            </w:pPr>
          </w:p>
          <w:p w:rsidR="005B1F86" w:rsidRDefault="0079537A" w:rsidP="000A7518">
            <w:pPr>
              <w:jc w:val="both"/>
            </w:pPr>
            <w:r w:rsidRPr="001B5569">
              <w:t xml:space="preserve">The substitute revises the entities with whom the TWDB is required to work for the conduct of applicable studies by including groundwater </w:t>
            </w:r>
            <w:r w:rsidRPr="001B5569">
              <w:t>conservation districts and by specifying that the potential sponsors of applicable projects are potential public sponsors.</w:t>
            </w:r>
            <w:r w:rsidRPr="001B5569">
              <w:t xml:space="preserve"> </w:t>
            </w:r>
          </w:p>
          <w:p w:rsidR="005B1F86" w:rsidRDefault="0079537A" w:rsidP="000A7518">
            <w:pPr>
              <w:jc w:val="both"/>
            </w:pPr>
          </w:p>
          <w:p w:rsidR="004F1204" w:rsidRDefault="0079537A" w:rsidP="000A7518">
            <w:pPr>
              <w:jc w:val="both"/>
            </w:pPr>
            <w:r w:rsidRPr="001B5569">
              <w:t>The substitute includes infiltration characteristics as a hydrogeological characteristic focus for purposes of the TWDB's statewide</w:t>
            </w:r>
            <w:r w:rsidRPr="001B5569">
              <w:t xml:space="preserve"> survey for the identification of the relative suitability of various major and minor aquifers for certain uses.</w:t>
            </w:r>
          </w:p>
          <w:p w:rsidR="00676666" w:rsidRPr="002818F0" w:rsidRDefault="0079537A" w:rsidP="000A7518">
            <w:pPr>
              <w:jc w:val="both"/>
            </w:pPr>
          </w:p>
        </w:tc>
      </w:tr>
      <w:tr w:rsidR="00B260BF" w:rsidTr="00345119">
        <w:tc>
          <w:tcPr>
            <w:tcW w:w="9576" w:type="dxa"/>
          </w:tcPr>
          <w:p w:rsidR="00B55B26" w:rsidRPr="009C1E9A" w:rsidRDefault="0079537A" w:rsidP="000A7518">
            <w:pPr>
              <w:rPr>
                <w:b/>
                <w:u w:val="single"/>
              </w:rPr>
            </w:pPr>
          </w:p>
        </w:tc>
      </w:tr>
      <w:tr w:rsidR="00B260BF" w:rsidTr="00345119">
        <w:tc>
          <w:tcPr>
            <w:tcW w:w="9576" w:type="dxa"/>
          </w:tcPr>
          <w:p w:rsidR="00B55B26" w:rsidRPr="00B55B26" w:rsidRDefault="0079537A" w:rsidP="000A7518">
            <w:pPr>
              <w:jc w:val="both"/>
            </w:pPr>
          </w:p>
        </w:tc>
      </w:tr>
    </w:tbl>
    <w:p w:rsidR="008423E4" w:rsidRPr="00F20ABD" w:rsidRDefault="0079537A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sectPr w:rsidR="008423E4" w:rsidRPr="00F20AB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537A">
      <w:r>
        <w:separator/>
      </w:r>
    </w:p>
  </w:endnote>
  <w:endnote w:type="continuationSeparator" w:id="0">
    <w:p w:rsidR="00000000" w:rsidRDefault="0079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5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60BF" w:rsidTr="009C1E9A">
      <w:trPr>
        <w:cantSplit/>
      </w:trPr>
      <w:tc>
        <w:tcPr>
          <w:tcW w:w="0" w:type="pct"/>
        </w:tcPr>
        <w:p w:rsidR="00137D90" w:rsidRDefault="007953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953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9537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953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953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60BF" w:rsidTr="009C1E9A">
      <w:trPr>
        <w:cantSplit/>
      </w:trPr>
      <w:tc>
        <w:tcPr>
          <w:tcW w:w="0" w:type="pct"/>
        </w:tcPr>
        <w:p w:rsidR="00EC379B" w:rsidRDefault="0079537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9537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22502</w:t>
          </w:r>
        </w:p>
      </w:tc>
      <w:tc>
        <w:tcPr>
          <w:tcW w:w="2453" w:type="pct"/>
        </w:tcPr>
        <w:p w:rsidR="00EC379B" w:rsidRDefault="007953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19.87.264</w:t>
          </w:r>
          <w:r>
            <w:fldChar w:fldCharType="end"/>
          </w:r>
        </w:p>
      </w:tc>
    </w:tr>
    <w:tr w:rsidR="00B260BF" w:rsidTr="009C1E9A">
      <w:trPr>
        <w:cantSplit/>
      </w:trPr>
      <w:tc>
        <w:tcPr>
          <w:tcW w:w="0" w:type="pct"/>
        </w:tcPr>
        <w:p w:rsidR="00EC379B" w:rsidRDefault="007953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9537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16639</w:t>
          </w:r>
        </w:p>
      </w:tc>
      <w:tc>
        <w:tcPr>
          <w:tcW w:w="2453" w:type="pct"/>
        </w:tcPr>
        <w:p w:rsidR="00EC379B" w:rsidRDefault="0079537A" w:rsidP="006D504F">
          <w:pPr>
            <w:pStyle w:val="Footer"/>
            <w:rPr>
              <w:rStyle w:val="PageNumber"/>
            </w:rPr>
          </w:pPr>
        </w:p>
        <w:p w:rsidR="00EC379B" w:rsidRDefault="0079537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60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9537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9537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9537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5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537A">
      <w:r>
        <w:separator/>
      </w:r>
    </w:p>
  </w:footnote>
  <w:footnote w:type="continuationSeparator" w:id="0">
    <w:p w:rsidR="00000000" w:rsidRDefault="0079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5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5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5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D7310"/>
    <w:multiLevelType w:val="hybridMultilevel"/>
    <w:tmpl w:val="FA82D69C"/>
    <w:lvl w:ilvl="0" w:tplc="B9708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28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6C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4A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E9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25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60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2C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47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BF"/>
    <w:rsid w:val="0079537A"/>
    <w:rsid w:val="00B2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0FAC7B-3F23-439C-A976-78762EFA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7F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7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F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3952</Characters>
  <Application>Microsoft Office Word</Application>
  <DocSecurity>4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HB00721 (Committee Report (Substituted))</vt:lpstr>
    </vt:vector>
  </TitlesOfParts>
  <Company>State of Texas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22502</dc:subject>
  <dc:creator>State of Texas</dc:creator>
  <dc:description>HB 721 by Larson-(H)Natural Resources (Substitute Document Number: 86R 16639)</dc:description>
  <cp:lastModifiedBy>Laura Ramsay</cp:lastModifiedBy>
  <cp:revision>2</cp:revision>
  <cp:lastPrinted>2003-11-26T17:21:00Z</cp:lastPrinted>
  <dcterms:created xsi:type="dcterms:W3CDTF">2019-04-03T14:07:00Z</dcterms:created>
  <dcterms:modified xsi:type="dcterms:W3CDTF">2019-04-03T14:07:00Z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19.87.264</vt:lpwstr>
  </property>
</Properties>
</file>