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4B4" w:rsidRDefault="000674B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5B290D029D541E29568E4285A77E8AC"/>
          </w:placeholder>
        </w:sdtPr>
        <w:sdtContent>
          <w:r w:rsidRPr="005C2A78">
            <w:rPr>
              <w:rFonts w:cs="Times New Roman"/>
              <w:b/>
              <w:szCs w:val="24"/>
              <w:u w:val="single"/>
            </w:rPr>
            <w:t>BILL ANALYSIS</w:t>
          </w:r>
        </w:sdtContent>
      </w:sdt>
    </w:p>
    <w:p w:rsidR="000674B4" w:rsidRPr="00585C31" w:rsidRDefault="000674B4" w:rsidP="000F1DF9">
      <w:pPr>
        <w:spacing w:after="0" w:line="240" w:lineRule="auto"/>
        <w:rPr>
          <w:rFonts w:cs="Times New Roman"/>
          <w:szCs w:val="24"/>
        </w:rPr>
      </w:pPr>
    </w:p>
    <w:p w:rsidR="000674B4" w:rsidRPr="00585C31" w:rsidRDefault="000674B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674B4" w:rsidTr="000F1DF9">
        <w:tc>
          <w:tcPr>
            <w:tcW w:w="2718" w:type="dxa"/>
          </w:tcPr>
          <w:p w:rsidR="000674B4" w:rsidRPr="005C2A78" w:rsidRDefault="000674B4" w:rsidP="006D756B">
            <w:pPr>
              <w:rPr>
                <w:rFonts w:cs="Times New Roman"/>
                <w:szCs w:val="24"/>
              </w:rPr>
            </w:pPr>
            <w:sdt>
              <w:sdtPr>
                <w:rPr>
                  <w:rFonts w:cs="Times New Roman"/>
                  <w:szCs w:val="24"/>
                </w:rPr>
                <w:alias w:val="Agency Title"/>
                <w:tag w:val="AgencyTitleContentControl"/>
                <w:id w:val="1920747753"/>
                <w:lock w:val="sdtContentLocked"/>
                <w:placeholder>
                  <w:docPart w:val="EEB3AC876A6744BE8F48DD3BE8143D50"/>
                </w:placeholder>
              </w:sdtPr>
              <w:sdtEndPr>
                <w:rPr>
                  <w:rFonts w:cstheme="minorBidi"/>
                  <w:szCs w:val="22"/>
                </w:rPr>
              </w:sdtEndPr>
              <w:sdtContent>
                <w:r>
                  <w:rPr>
                    <w:rFonts w:cs="Times New Roman"/>
                    <w:szCs w:val="24"/>
                  </w:rPr>
                  <w:t>Senate Research Center</w:t>
                </w:r>
              </w:sdtContent>
            </w:sdt>
          </w:p>
        </w:tc>
        <w:tc>
          <w:tcPr>
            <w:tcW w:w="6858" w:type="dxa"/>
          </w:tcPr>
          <w:p w:rsidR="000674B4" w:rsidRPr="00FF6471" w:rsidRDefault="000674B4" w:rsidP="000F1DF9">
            <w:pPr>
              <w:jc w:val="right"/>
              <w:rPr>
                <w:rFonts w:cs="Times New Roman"/>
                <w:szCs w:val="24"/>
              </w:rPr>
            </w:pPr>
            <w:sdt>
              <w:sdtPr>
                <w:rPr>
                  <w:rFonts w:cs="Times New Roman"/>
                  <w:szCs w:val="24"/>
                </w:rPr>
                <w:alias w:val="Bill Number"/>
                <w:tag w:val="BillNumberOne"/>
                <w:id w:val="-410784069"/>
                <w:lock w:val="sdtContentLocked"/>
                <w:placeholder>
                  <w:docPart w:val="67AE31202D5B44F0B837BC69CE1B9528"/>
                </w:placeholder>
              </w:sdtPr>
              <w:sdtContent>
                <w:r>
                  <w:rPr>
                    <w:rFonts w:cs="Times New Roman"/>
                    <w:szCs w:val="24"/>
                  </w:rPr>
                  <w:t>C.S.H.B. 721</w:t>
                </w:r>
              </w:sdtContent>
            </w:sdt>
          </w:p>
        </w:tc>
      </w:tr>
      <w:tr w:rsidR="000674B4" w:rsidTr="000F1DF9">
        <w:sdt>
          <w:sdtPr>
            <w:rPr>
              <w:rFonts w:cs="Times New Roman"/>
              <w:szCs w:val="24"/>
            </w:rPr>
            <w:alias w:val="TLCNumber"/>
            <w:tag w:val="TLCNumber"/>
            <w:id w:val="-542600604"/>
            <w:lock w:val="sdtLocked"/>
            <w:placeholder>
              <w:docPart w:val="4878867D218B472EA5FAC16A308AE701"/>
            </w:placeholder>
          </w:sdtPr>
          <w:sdtContent>
            <w:tc>
              <w:tcPr>
                <w:tcW w:w="2718" w:type="dxa"/>
              </w:tcPr>
              <w:p w:rsidR="000674B4" w:rsidRPr="000F1DF9" w:rsidRDefault="000674B4" w:rsidP="00C65088">
                <w:pPr>
                  <w:rPr>
                    <w:rFonts w:cs="Times New Roman"/>
                    <w:szCs w:val="24"/>
                  </w:rPr>
                </w:pPr>
                <w:r>
                  <w:rPr>
                    <w:rFonts w:cs="Times New Roman"/>
                    <w:szCs w:val="24"/>
                  </w:rPr>
                  <w:t>86R32000 SLB-F</w:t>
                </w:r>
              </w:p>
            </w:tc>
          </w:sdtContent>
        </w:sdt>
        <w:tc>
          <w:tcPr>
            <w:tcW w:w="6858" w:type="dxa"/>
          </w:tcPr>
          <w:p w:rsidR="000674B4" w:rsidRPr="005C2A78" w:rsidRDefault="000674B4" w:rsidP="006D756B">
            <w:pPr>
              <w:jc w:val="right"/>
              <w:rPr>
                <w:rFonts w:cs="Times New Roman"/>
                <w:szCs w:val="24"/>
              </w:rPr>
            </w:pPr>
            <w:sdt>
              <w:sdtPr>
                <w:rPr>
                  <w:rFonts w:cs="Times New Roman"/>
                  <w:szCs w:val="24"/>
                </w:rPr>
                <w:alias w:val="Author Label"/>
                <w:tag w:val="By"/>
                <w:id w:val="72399597"/>
                <w:lock w:val="sdtLocked"/>
                <w:placeholder>
                  <w:docPart w:val="E11DD3FD1AA24EE79874503BBA1A83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EE1BCD21EFE4AFA83A782F555FD8042"/>
                </w:placeholder>
              </w:sdtPr>
              <w:sdtContent>
                <w:r>
                  <w:rPr>
                    <w:rFonts w:cs="Times New Roman"/>
                    <w:szCs w:val="24"/>
                  </w:rPr>
                  <w:t>Larson; Guillen</w:t>
                </w:r>
              </w:sdtContent>
            </w:sdt>
            <w:sdt>
              <w:sdtPr>
                <w:rPr>
                  <w:rFonts w:cs="Times New Roman"/>
                  <w:szCs w:val="24"/>
                </w:rPr>
                <w:alias w:val="Sponsor"/>
                <w:tag w:val="Sponsor"/>
                <w:id w:val="-2039656131"/>
                <w:lock w:val="sdtContentLocked"/>
                <w:placeholder>
                  <w:docPart w:val="A7FC92BBB37F4DFCACB9ADBBBE9D5A6E"/>
                </w:placeholder>
              </w:sdtPr>
              <w:sdtContent>
                <w:r>
                  <w:rPr>
                    <w:rFonts w:cs="Times New Roman"/>
                    <w:szCs w:val="24"/>
                  </w:rPr>
                  <w:t xml:space="preserve"> (Perry)</w:t>
                </w:r>
              </w:sdtContent>
            </w:sdt>
          </w:p>
        </w:tc>
      </w:tr>
      <w:tr w:rsidR="000674B4" w:rsidTr="000F1DF9">
        <w:tc>
          <w:tcPr>
            <w:tcW w:w="2718" w:type="dxa"/>
          </w:tcPr>
          <w:p w:rsidR="000674B4" w:rsidRPr="00BC7495" w:rsidRDefault="000674B4" w:rsidP="000F1DF9">
            <w:pPr>
              <w:rPr>
                <w:rFonts w:cs="Times New Roman"/>
                <w:szCs w:val="24"/>
              </w:rPr>
            </w:pPr>
          </w:p>
        </w:tc>
        <w:sdt>
          <w:sdtPr>
            <w:rPr>
              <w:rFonts w:cs="Times New Roman"/>
              <w:szCs w:val="24"/>
            </w:rPr>
            <w:alias w:val="Committee"/>
            <w:tag w:val="Committee"/>
            <w:id w:val="1914272295"/>
            <w:lock w:val="sdtContentLocked"/>
            <w:placeholder>
              <w:docPart w:val="29E5B009617842C095A111440A29341F"/>
            </w:placeholder>
          </w:sdtPr>
          <w:sdtContent>
            <w:tc>
              <w:tcPr>
                <w:tcW w:w="6858" w:type="dxa"/>
              </w:tcPr>
              <w:p w:rsidR="000674B4" w:rsidRPr="00FF6471" w:rsidRDefault="000674B4" w:rsidP="000F1DF9">
                <w:pPr>
                  <w:jc w:val="right"/>
                  <w:rPr>
                    <w:rFonts w:cs="Times New Roman"/>
                    <w:szCs w:val="24"/>
                  </w:rPr>
                </w:pPr>
                <w:r>
                  <w:rPr>
                    <w:rFonts w:cs="Times New Roman"/>
                    <w:szCs w:val="24"/>
                  </w:rPr>
                  <w:t>Water &amp; Rural Affairs</w:t>
                </w:r>
              </w:p>
            </w:tc>
          </w:sdtContent>
        </w:sdt>
      </w:tr>
      <w:tr w:rsidR="000674B4" w:rsidTr="000F1DF9">
        <w:tc>
          <w:tcPr>
            <w:tcW w:w="2718" w:type="dxa"/>
          </w:tcPr>
          <w:p w:rsidR="000674B4" w:rsidRPr="00BC7495" w:rsidRDefault="000674B4" w:rsidP="000F1DF9">
            <w:pPr>
              <w:rPr>
                <w:rFonts w:cs="Times New Roman"/>
                <w:szCs w:val="24"/>
              </w:rPr>
            </w:pPr>
          </w:p>
        </w:tc>
        <w:sdt>
          <w:sdtPr>
            <w:rPr>
              <w:rFonts w:cs="Times New Roman"/>
              <w:szCs w:val="24"/>
            </w:rPr>
            <w:alias w:val="Date"/>
            <w:tag w:val="DateContentControl"/>
            <w:id w:val="1178081906"/>
            <w:lock w:val="sdtLocked"/>
            <w:placeholder>
              <w:docPart w:val="FEE8DCBFEAFB4951991DA67EFBBD5DF4"/>
            </w:placeholder>
            <w:date w:fullDate="2019-05-13T00:00:00Z">
              <w:dateFormat w:val="M/d/yyyy"/>
              <w:lid w:val="en-US"/>
              <w:storeMappedDataAs w:val="dateTime"/>
              <w:calendar w:val="gregorian"/>
            </w:date>
          </w:sdtPr>
          <w:sdtContent>
            <w:tc>
              <w:tcPr>
                <w:tcW w:w="6858" w:type="dxa"/>
              </w:tcPr>
              <w:p w:rsidR="000674B4" w:rsidRPr="00FF6471" w:rsidRDefault="000674B4" w:rsidP="000F1DF9">
                <w:pPr>
                  <w:jc w:val="right"/>
                  <w:rPr>
                    <w:rFonts w:cs="Times New Roman"/>
                    <w:szCs w:val="24"/>
                  </w:rPr>
                </w:pPr>
                <w:r>
                  <w:rPr>
                    <w:rFonts w:cs="Times New Roman"/>
                    <w:szCs w:val="24"/>
                  </w:rPr>
                  <w:t>5/13/2019</w:t>
                </w:r>
              </w:p>
            </w:tc>
          </w:sdtContent>
        </w:sdt>
      </w:tr>
      <w:tr w:rsidR="000674B4" w:rsidTr="000F1DF9">
        <w:tc>
          <w:tcPr>
            <w:tcW w:w="2718" w:type="dxa"/>
          </w:tcPr>
          <w:p w:rsidR="000674B4" w:rsidRPr="00BC7495" w:rsidRDefault="000674B4" w:rsidP="000F1DF9">
            <w:pPr>
              <w:rPr>
                <w:rFonts w:cs="Times New Roman"/>
                <w:szCs w:val="24"/>
              </w:rPr>
            </w:pPr>
          </w:p>
        </w:tc>
        <w:sdt>
          <w:sdtPr>
            <w:rPr>
              <w:rFonts w:cs="Times New Roman"/>
              <w:szCs w:val="24"/>
            </w:rPr>
            <w:alias w:val="BA Version"/>
            <w:tag w:val="BAVersion"/>
            <w:id w:val="-1685590809"/>
            <w:lock w:val="sdtContentLocked"/>
            <w:placeholder>
              <w:docPart w:val="6212A657F7AA4387AE0252E8C585717B"/>
            </w:placeholder>
          </w:sdtPr>
          <w:sdtContent>
            <w:tc>
              <w:tcPr>
                <w:tcW w:w="6858" w:type="dxa"/>
              </w:tcPr>
              <w:p w:rsidR="000674B4" w:rsidRPr="00FF6471" w:rsidRDefault="000674B4" w:rsidP="000F1DF9">
                <w:pPr>
                  <w:jc w:val="right"/>
                  <w:rPr>
                    <w:rFonts w:cs="Times New Roman"/>
                    <w:szCs w:val="24"/>
                  </w:rPr>
                </w:pPr>
                <w:r>
                  <w:rPr>
                    <w:rFonts w:cs="Times New Roman"/>
                    <w:szCs w:val="24"/>
                  </w:rPr>
                  <w:t>Committee Report (Substituted)</w:t>
                </w:r>
              </w:p>
            </w:tc>
          </w:sdtContent>
        </w:sdt>
      </w:tr>
    </w:tbl>
    <w:p w:rsidR="000674B4" w:rsidRPr="00FF6471" w:rsidRDefault="000674B4" w:rsidP="000F1DF9">
      <w:pPr>
        <w:spacing w:after="0" w:line="240" w:lineRule="auto"/>
        <w:rPr>
          <w:rFonts w:cs="Times New Roman"/>
          <w:szCs w:val="24"/>
        </w:rPr>
      </w:pPr>
    </w:p>
    <w:p w:rsidR="000674B4" w:rsidRPr="00FF6471" w:rsidRDefault="000674B4" w:rsidP="000F1DF9">
      <w:pPr>
        <w:spacing w:after="0" w:line="240" w:lineRule="auto"/>
        <w:rPr>
          <w:rFonts w:cs="Times New Roman"/>
          <w:szCs w:val="24"/>
        </w:rPr>
      </w:pPr>
    </w:p>
    <w:p w:rsidR="000674B4" w:rsidRPr="00FF6471" w:rsidRDefault="000674B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007EF6CFFDF4556B72526BD9B7718EE"/>
        </w:placeholder>
      </w:sdtPr>
      <w:sdtContent>
        <w:p w:rsidR="000674B4" w:rsidRDefault="000674B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559B709E57C40609EFF0BFF2F0A3A27"/>
        </w:placeholder>
      </w:sdtPr>
      <w:sdtEndPr/>
      <w:sdtContent>
        <w:p w:rsidR="000674B4" w:rsidRDefault="000674B4" w:rsidP="000674B4">
          <w:pPr>
            <w:pStyle w:val="NormalWeb"/>
            <w:shd w:val="clear" w:color="000000" w:fill="auto"/>
            <w:spacing w:before="0" w:beforeAutospacing="0" w:after="0" w:afterAutospacing="0"/>
            <w:jc w:val="both"/>
            <w:divId w:val="609825764"/>
            <w:rPr>
              <w:rFonts w:eastAsia="Times New Roman" w:cstheme="minorBidi"/>
              <w:bCs/>
              <w:szCs w:val="22"/>
            </w:rPr>
          </w:pPr>
        </w:p>
        <w:p w:rsidR="000674B4" w:rsidRDefault="000674B4" w:rsidP="000674B4">
          <w:pPr>
            <w:pStyle w:val="NormalWeb"/>
            <w:shd w:val="clear" w:color="000000" w:fill="auto"/>
            <w:spacing w:before="0" w:beforeAutospacing="0" w:after="0" w:afterAutospacing="0"/>
            <w:jc w:val="both"/>
            <w:divId w:val="609825764"/>
            <w:rPr>
              <w:color w:val="000000"/>
            </w:rPr>
          </w:pPr>
          <w:r w:rsidRPr="00F62880">
            <w:rPr>
              <w:color w:val="000000"/>
            </w:rPr>
            <w:t>Aquifer Storage and Recovery (ASR) is a proven method of injecting water underground in aquifers that have excess storage capacity for later recovery. Aquifer recharge projects consist of intentional recharge of an aquifer by infiltration or injection to assist with mitigation of flood flows, reduce declines in the water levels of aquifers, supplement the quantity of groundwater available, improve water quality, and improve spring flows and other interactions between groundwater and surface water.</w:t>
          </w:r>
          <w:r>
            <w:rPr>
              <w:color w:val="000000"/>
            </w:rPr>
            <w:t xml:space="preserve"> </w:t>
          </w:r>
        </w:p>
        <w:p w:rsidR="000674B4" w:rsidRPr="00F62880" w:rsidRDefault="000674B4" w:rsidP="000674B4">
          <w:pPr>
            <w:pStyle w:val="NormalWeb"/>
            <w:shd w:val="clear" w:color="000000" w:fill="auto"/>
            <w:spacing w:before="0" w:beforeAutospacing="0" w:after="0" w:afterAutospacing="0"/>
            <w:jc w:val="both"/>
            <w:divId w:val="609825764"/>
            <w:rPr>
              <w:color w:val="000000"/>
            </w:rPr>
          </w:pPr>
        </w:p>
        <w:p w:rsidR="000674B4" w:rsidRDefault="000674B4" w:rsidP="000674B4">
          <w:pPr>
            <w:pStyle w:val="NormalWeb"/>
            <w:shd w:val="clear" w:color="000000" w:fill="auto"/>
            <w:spacing w:before="0" w:beforeAutospacing="0" w:after="0" w:afterAutospacing="0"/>
            <w:jc w:val="both"/>
            <w:divId w:val="609825764"/>
            <w:rPr>
              <w:color w:val="000000"/>
            </w:rPr>
          </w:pPr>
          <w:r w:rsidRPr="00F62880">
            <w:rPr>
              <w:color w:val="000000"/>
            </w:rPr>
            <w:t>Initial feasibility and pilot testing studies are important as both ASR and aquifer recharge projects require the right physical conditions.</w:t>
          </w:r>
          <w:r>
            <w:rPr>
              <w:color w:val="000000"/>
            </w:rPr>
            <w:t xml:space="preserve"> </w:t>
          </w:r>
        </w:p>
        <w:p w:rsidR="000674B4" w:rsidRPr="00F62880" w:rsidRDefault="000674B4" w:rsidP="000674B4">
          <w:pPr>
            <w:pStyle w:val="NormalWeb"/>
            <w:shd w:val="clear" w:color="000000" w:fill="auto"/>
            <w:spacing w:before="0" w:beforeAutospacing="0" w:after="0" w:afterAutospacing="0"/>
            <w:jc w:val="both"/>
            <w:divId w:val="609825764"/>
            <w:rPr>
              <w:color w:val="000000"/>
            </w:rPr>
          </w:pPr>
        </w:p>
        <w:p w:rsidR="000674B4" w:rsidRPr="000674B4" w:rsidRDefault="000674B4" w:rsidP="000674B4">
          <w:pPr>
            <w:pStyle w:val="NormalWeb"/>
            <w:shd w:val="clear" w:color="000000" w:fill="auto"/>
            <w:spacing w:before="0" w:beforeAutospacing="0" w:after="0" w:afterAutospacing="0"/>
            <w:jc w:val="both"/>
            <w:divId w:val="609825764"/>
            <w:rPr>
              <w:color w:val="000000"/>
            </w:rPr>
          </w:pPr>
          <w:r w:rsidRPr="00F62880">
            <w:rPr>
              <w:color w:val="000000"/>
            </w:rPr>
            <w:t>H</w:t>
          </w:r>
          <w:r>
            <w:rPr>
              <w:color w:val="000000"/>
            </w:rPr>
            <w:t>.</w:t>
          </w:r>
          <w:r w:rsidRPr="00F62880">
            <w:rPr>
              <w:color w:val="000000"/>
            </w:rPr>
            <w:t>B</w:t>
          </w:r>
          <w:r>
            <w:rPr>
              <w:color w:val="000000"/>
            </w:rPr>
            <w:t>.</w:t>
          </w:r>
          <w:r w:rsidRPr="00F62880">
            <w:rPr>
              <w:color w:val="000000"/>
            </w:rPr>
            <w:t xml:space="preserve"> 721 directs the Texas Water Development Board to study the suitability of Texas' major and minor aquifers for use in ASR and aquifer recharge projects. The study must be completed by December 15, 2020. </w:t>
          </w:r>
          <w:r w:rsidRPr="000674B4">
            <w:t>(Original Author's/Sponsor's Statement of Intent)</w:t>
          </w:r>
        </w:p>
        <w:p w:rsidR="000674B4" w:rsidRPr="00D70925" w:rsidRDefault="000674B4" w:rsidP="000674B4">
          <w:pPr>
            <w:shd w:val="clear" w:color="000000" w:fill="auto"/>
            <w:spacing w:after="0" w:line="240" w:lineRule="auto"/>
            <w:jc w:val="both"/>
            <w:rPr>
              <w:rFonts w:eastAsia="Times New Roman" w:cs="Times New Roman"/>
              <w:bCs/>
              <w:szCs w:val="24"/>
            </w:rPr>
          </w:pPr>
        </w:p>
      </w:sdtContent>
    </w:sdt>
    <w:p w:rsidR="000674B4" w:rsidRDefault="000674B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721 </w:t>
      </w:r>
      <w:bookmarkStart w:id="1" w:name="AmendsCurrentLaw"/>
      <w:bookmarkEnd w:id="1"/>
      <w:r>
        <w:rPr>
          <w:rFonts w:cs="Times New Roman"/>
          <w:szCs w:val="24"/>
        </w:rPr>
        <w:t xml:space="preserve">amends current law relating to the duty of the Texas Water Development Board to conduct studies of and prepare and submit reports on aquifer storage and recovery and aquifer recharge projects. </w:t>
      </w:r>
    </w:p>
    <w:p w:rsidR="000674B4" w:rsidRPr="001B284F" w:rsidRDefault="000674B4" w:rsidP="000F1DF9">
      <w:pPr>
        <w:spacing w:after="0" w:line="240" w:lineRule="auto"/>
        <w:jc w:val="both"/>
        <w:rPr>
          <w:rFonts w:eastAsia="Times New Roman" w:cs="Times New Roman"/>
          <w:szCs w:val="24"/>
        </w:rPr>
      </w:pPr>
    </w:p>
    <w:p w:rsidR="000674B4" w:rsidRPr="005C2A78" w:rsidRDefault="000674B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3A2E3B7811149659113F933C619F6D6"/>
          </w:placeholder>
        </w:sdtPr>
        <w:sdtContent>
          <w:r>
            <w:rPr>
              <w:rFonts w:eastAsia="Times New Roman" w:cs="Times New Roman"/>
              <w:b/>
              <w:szCs w:val="24"/>
              <w:u w:val="single"/>
            </w:rPr>
            <w:t>RULEMAKING AUTHORITY</w:t>
          </w:r>
        </w:sdtContent>
      </w:sdt>
    </w:p>
    <w:p w:rsidR="000674B4" w:rsidRPr="006529C4" w:rsidRDefault="000674B4" w:rsidP="00774EC7">
      <w:pPr>
        <w:spacing w:after="0" w:line="240" w:lineRule="auto"/>
        <w:jc w:val="both"/>
        <w:rPr>
          <w:rFonts w:cs="Times New Roman"/>
          <w:szCs w:val="24"/>
        </w:rPr>
      </w:pPr>
    </w:p>
    <w:p w:rsidR="000674B4" w:rsidRPr="006529C4" w:rsidRDefault="000674B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674B4" w:rsidRPr="006529C4" w:rsidRDefault="000674B4" w:rsidP="00774EC7">
      <w:pPr>
        <w:spacing w:after="0" w:line="240" w:lineRule="auto"/>
        <w:jc w:val="both"/>
        <w:rPr>
          <w:rFonts w:cs="Times New Roman"/>
          <w:szCs w:val="24"/>
        </w:rPr>
      </w:pPr>
    </w:p>
    <w:p w:rsidR="000674B4" w:rsidRPr="005C2A78" w:rsidRDefault="000674B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6B68263507D4A3096B12A63DE12107F"/>
          </w:placeholder>
        </w:sdtPr>
        <w:sdtContent>
          <w:r>
            <w:rPr>
              <w:rFonts w:eastAsia="Times New Roman" w:cs="Times New Roman"/>
              <w:b/>
              <w:szCs w:val="24"/>
              <w:u w:val="single"/>
            </w:rPr>
            <w:t>SECTION BY SECTION ANALYSIS</w:t>
          </w:r>
        </w:sdtContent>
      </w:sdt>
    </w:p>
    <w:p w:rsidR="000674B4" w:rsidRPr="005C2A78" w:rsidRDefault="000674B4" w:rsidP="000F1DF9">
      <w:pPr>
        <w:spacing w:after="0" w:line="240" w:lineRule="auto"/>
        <w:jc w:val="both"/>
        <w:rPr>
          <w:rFonts w:eastAsia="Times New Roman" w:cs="Times New Roman"/>
          <w:szCs w:val="24"/>
        </w:rPr>
      </w:pPr>
    </w:p>
    <w:p w:rsidR="000674B4" w:rsidRDefault="000674B4" w:rsidP="0043612B">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11.155, Water Code, as follows: </w:t>
      </w:r>
    </w:p>
    <w:p w:rsidR="000674B4" w:rsidRDefault="000674B4" w:rsidP="0043612B">
      <w:pPr>
        <w:spacing w:after="0" w:line="240" w:lineRule="auto"/>
        <w:jc w:val="both"/>
      </w:pPr>
    </w:p>
    <w:p w:rsidR="000674B4" w:rsidRDefault="000674B4" w:rsidP="0043612B">
      <w:pPr>
        <w:spacing w:after="0" w:line="240" w:lineRule="auto"/>
        <w:ind w:left="720"/>
        <w:jc w:val="both"/>
      </w:pPr>
      <w:r>
        <w:t xml:space="preserve">Sec. 11.155. New heading: AQUIFER STORAGE AND RECOVERY AND AQUIFER RECHARGE REPORTS. (a) Defines "aquifer recharge project" and "aquifer storage and recovery project." </w:t>
      </w:r>
    </w:p>
    <w:p w:rsidR="000674B4" w:rsidRDefault="000674B4" w:rsidP="0043612B">
      <w:pPr>
        <w:spacing w:after="0" w:line="240" w:lineRule="auto"/>
        <w:ind w:left="720"/>
        <w:jc w:val="both"/>
      </w:pPr>
    </w:p>
    <w:p w:rsidR="000674B4" w:rsidRDefault="000674B4" w:rsidP="0043612B">
      <w:pPr>
        <w:spacing w:after="0" w:line="240" w:lineRule="auto"/>
        <w:ind w:left="1440"/>
        <w:jc w:val="both"/>
      </w:pPr>
      <w:r>
        <w:t xml:space="preserve">(b) Creates this subsection from existing text. Requires the Texas Water Development Board (TWDB) to make studies, investigations, and surveys of the aquifers in the state to determine the occurrence, quantity, quality, and availability of aquifers in which aquifer storage and recovery projects or aquifer recharge projects are feasible, rather than requiring TWDB to make studies, investigations, and surveys of the aquifers in the state as it considers necessary to determine the reference, quantity, quality, and availability of aquifers in which water may be stored and subsequently retrieved for beneficial use. </w:t>
      </w:r>
    </w:p>
    <w:p w:rsidR="000674B4" w:rsidRDefault="000674B4" w:rsidP="0043612B">
      <w:pPr>
        <w:spacing w:after="0" w:line="240" w:lineRule="auto"/>
        <w:ind w:left="1440"/>
        <w:jc w:val="both"/>
      </w:pPr>
    </w:p>
    <w:p w:rsidR="000674B4" w:rsidRDefault="000674B4" w:rsidP="0043612B">
      <w:pPr>
        <w:spacing w:after="0" w:line="240" w:lineRule="auto"/>
        <w:ind w:left="1440"/>
        <w:jc w:val="both"/>
      </w:pPr>
      <w:r>
        <w:t xml:space="preserve">(c) Requires TWDB, working with appropriate interested persons, including river authorities and major water providers and water utilities, regional water planning groups, groundwater conservation districts, and potential public sponsors of aquifer storage and recovery projects or aquifer recharge projects, to: </w:t>
      </w:r>
    </w:p>
    <w:p w:rsidR="000674B4" w:rsidRDefault="000674B4" w:rsidP="0043612B">
      <w:pPr>
        <w:spacing w:after="0" w:line="240" w:lineRule="auto"/>
        <w:ind w:left="1440"/>
        <w:jc w:val="both"/>
      </w:pPr>
    </w:p>
    <w:p w:rsidR="000674B4" w:rsidRDefault="000674B4" w:rsidP="0043612B">
      <w:pPr>
        <w:spacing w:after="0" w:line="240" w:lineRule="auto"/>
        <w:ind w:left="2160"/>
        <w:jc w:val="both"/>
      </w:pPr>
      <w:r>
        <w:t xml:space="preserve">(1) conduct studies of aquifer storage and recovery projects and aquifer recharge projects identified in the state water plan or by interested persons; and </w:t>
      </w:r>
    </w:p>
    <w:p w:rsidR="000674B4" w:rsidRDefault="000674B4" w:rsidP="0043612B">
      <w:pPr>
        <w:spacing w:after="0" w:line="240" w:lineRule="auto"/>
        <w:ind w:left="2160"/>
        <w:jc w:val="both"/>
      </w:pPr>
    </w:p>
    <w:p w:rsidR="000674B4" w:rsidRDefault="000674B4" w:rsidP="0043612B">
      <w:pPr>
        <w:spacing w:after="0" w:line="240" w:lineRule="auto"/>
        <w:ind w:left="2160"/>
        <w:jc w:val="both"/>
      </w:pPr>
      <w:r>
        <w:t xml:space="preserve">(2) report the results of each study conducted under Subdivision (1) to regional water planning groups and interested persons. </w:t>
      </w:r>
    </w:p>
    <w:p w:rsidR="000674B4" w:rsidRDefault="000674B4" w:rsidP="0043612B">
      <w:pPr>
        <w:spacing w:after="0" w:line="240" w:lineRule="auto"/>
        <w:ind w:left="2160"/>
        <w:jc w:val="both"/>
      </w:pPr>
    </w:p>
    <w:p w:rsidR="000674B4" w:rsidRDefault="000674B4" w:rsidP="0043612B">
      <w:pPr>
        <w:spacing w:after="0" w:line="240" w:lineRule="auto"/>
        <w:ind w:left="1440"/>
        <w:jc w:val="both"/>
      </w:pPr>
      <w:r>
        <w:t xml:space="preserve">(d) Provides that this subsection expires January 1, 2021. Requires TWDB to: </w:t>
      </w:r>
    </w:p>
    <w:p w:rsidR="000674B4" w:rsidRDefault="000674B4" w:rsidP="0043612B">
      <w:pPr>
        <w:spacing w:after="0" w:line="240" w:lineRule="auto"/>
        <w:ind w:left="1440"/>
        <w:jc w:val="both"/>
      </w:pPr>
    </w:p>
    <w:p w:rsidR="000674B4" w:rsidRDefault="000674B4" w:rsidP="0043612B">
      <w:pPr>
        <w:spacing w:after="0" w:line="240" w:lineRule="auto"/>
        <w:ind w:left="2160"/>
        <w:jc w:val="both"/>
      </w:pPr>
      <w:r>
        <w:t xml:space="preserve">(1) conduct a statewide survey to identify the relative suitability of various major and minor aquifers for use in aquifer storage and recovery projects or aquifer recharge projects based on consideration of: </w:t>
      </w:r>
    </w:p>
    <w:p w:rsidR="000674B4" w:rsidRDefault="000674B4" w:rsidP="0043612B">
      <w:pPr>
        <w:spacing w:after="0" w:line="240" w:lineRule="auto"/>
        <w:ind w:left="2160"/>
        <w:jc w:val="both"/>
      </w:pPr>
    </w:p>
    <w:p w:rsidR="000674B4" w:rsidRDefault="000674B4" w:rsidP="0043612B">
      <w:pPr>
        <w:spacing w:after="0" w:line="240" w:lineRule="auto"/>
        <w:ind w:left="2880"/>
        <w:jc w:val="both"/>
      </w:pPr>
      <w:r>
        <w:t xml:space="preserve">(A) hydrogeological characteristics, with a focus on: </w:t>
      </w:r>
    </w:p>
    <w:p w:rsidR="000674B4" w:rsidRDefault="000674B4" w:rsidP="0043612B">
      <w:pPr>
        <w:spacing w:after="0" w:line="240" w:lineRule="auto"/>
        <w:ind w:left="2880"/>
        <w:jc w:val="both"/>
      </w:pPr>
    </w:p>
    <w:p w:rsidR="000674B4" w:rsidRDefault="000674B4" w:rsidP="0043612B">
      <w:pPr>
        <w:spacing w:after="0" w:line="240" w:lineRule="auto"/>
        <w:ind w:left="3600"/>
        <w:jc w:val="both"/>
      </w:pPr>
      <w:r>
        <w:t xml:space="preserve">(i) storage potential; </w:t>
      </w:r>
    </w:p>
    <w:p w:rsidR="000674B4" w:rsidRDefault="000674B4" w:rsidP="0043612B">
      <w:pPr>
        <w:spacing w:after="0" w:line="240" w:lineRule="auto"/>
        <w:ind w:left="3600"/>
        <w:jc w:val="both"/>
      </w:pPr>
    </w:p>
    <w:p w:rsidR="000674B4" w:rsidRDefault="000674B4" w:rsidP="0043612B">
      <w:pPr>
        <w:spacing w:after="0" w:line="240" w:lineRule="auto"/>
        <w:ind w:left="3600"/>
        <w:jc w:val="both"/>
      </w:pPr>
      <w:r>
        <w:t xml:space="preserve">(ii) transmissivity; </w:t>
      </w:r>
    </w:p>
    <w:p w:rsidR="000674B4" w:rsidRDefault="000674B4" w:rsidP="0043612B">
      <w:pPr>
        <w:spacing w:after="0" w:line="240" w:lineRule="auto"/>
        <w:ind w:left="3600"/>
        <w:jc w:val="both"/>
      </w:pPr>
    </w:p>
    <w:p w:rsidR="000674B4" w:rsidRDefault="000674B4" w:rsidP="0043612B">
      <w:pPr>
        <w:spacing w:after="0" w:line="240" w:lineRule="auto"/>
        <w:ind w:left="3600"/>
        <w:jc w:val="both"/>
      </w:pPr>
      <w:r>
        <w:t xml:space="preserve">(iii) infiltration characteristics; </w:t>
      </w:r>
    </w:p>
    <w:p w:rsidR="000674B4" w:rsidRDefault="000674B4" w:rsidP="0043612B">
      <w:pPr>
        <w:spacing w:after="0" w:line="240" w:lineRule="auto"/>
        <w:ind w:left="3600"/>
        <w:jc w:val="both"/>
      </w:pPr>
    </w:p>
    <w:p w:rsidR="000674B4" w:rsidRDefault="000674B4" w:rsidP="0043612B">
      <w:pPr>
        <w:spacing w:after="0" w:line="240" w:lineRule="auto"/>
        <w:ind w:left="3600"/>
        <w:jc w:val="both"/>
      </w:pPr>
      <w:r>
        <w:t xml:space="preserve">(iv) storativity; </w:t>
      </w:r>
    </w:p>
    <w:p w:rsidR="000674B4" w:rsidRDefault="000674B4" w:rsidP="0043612B">
      <w:pPr>
        <w:spacing w:after="0" w:line="240" w:lineRule="auto"/>
        <w:ind w:left="3600"/>
        <w:jc w:val="both"/>
      </w:pPr>
    </w:p>
    <w:p w:rsidR="000674B4" w:rsidRDefault="000674B4" w:rsidP="0043612B">
      <w:pPr>
        <w:spacing w:after="0" w:line="240" w:lineRule="auto"/>
        <w:ind w:left="3600"/>
        <w:jc w:val="both"/>
      </w:pPr>
      <w:r>
        <w:t xml:space="preserve">(v) recoverability; and </w:t>
      </w:r>
    </w:p>
    <w:p w:rsidR="000674B4" w:rsidRDefault="000674B4" w:rsidP="0043612B">
      <w:pPr>
        <w:spacing w:after="0" w:line="240" w:lineRule="auto"/>
        <w:ind w:left="3600"/>
        <w:jc w:val="both"/>
      </w:pPr>
    </w:p>
    <w:p w:rsidR="000674B4" w:rsidRDefault="000674B4" w:rsidP="0043612B">
      <w:pPr>
        <w:spacing w:after="0" w:line="240" w:lineRule="auto"/>
        <w:ind w:left="3600"/>
        <w:jc w:val="both"/>
      </w:pPr>
      <w:r>
        <w:t xml:space="preserve">(vi) water quality; </w:t>
      </w:r>
    </w:p>
    <w:p w:rsidR="000674B4" w:rsidRDefault="000674B4" w:rsidP="0043612B">
      <w:pPr>
        <w:spacing w:after="0" w:line="240" w:lineRule="auto"/>
        <w:ind w:left="3600"/>
        <w:jc w:val="both"/>
      </w:pPr>
    </w:p>
    <w:p w:rsidR="000674B4" w:rsidRDefault="000674B4" w:rsidP="0043612B">
      <w:pPr>
        <w:spacing w:after="0" w:line="240" w:lineRule="auto"/>
        <w:ind w:left="2880"/>
        <w:jc w:val="both"/>
      </w:pPr>
      <w:r>
        <w:t xml:space="preserve">(B) the frequency, volume, and distance from excess water available for potential storage; and </w:t>
      </w:r>
    </w:p>
    <w:p w:rsidR="000674B4" w:rsidRDefault="000674B4" w:rsidP="0043612B">
      <w:pPr>
        <w:spacing w:after="0" w:line="240" w:lineRule="auto"/>
        <w:ind w:left="2880"/>
        <w:jc w:val="both"/>
      </w:pPr>
    </w:p>
    <w:p w:rsidR="000674B4" w:rsidRDefault="000674B4" w:rsidP="0043612B">
      <w:pPr>
        <w:spacing w:after="0" w:line="240" w:lineRule="auto"/>
        <w:ind w:left="2880"/>
        <w:jc w:val="both"/>
      </w:pPr>
      <w:r>
        <w:t xml:space="preserve">(C) the current and future water supply needs identified in the state water plan; </w:t>
      </w:r>
    </w:p>
    <w:p w:rsidR="000674B4" w:rsidRDefault="000674B4" w:rsidP="0043612B">
      <w:pPr>
        <w:spacing w:after="0" w:line="240" w:lineRule="auto"/>
        <w:ind w:left="2880"/>
        <w:jc w:val="both"/>
      </w:pPr>
    </w:p>
    <w:p w:rsidR="000674B4" w:rsidRDefault="000674B4" w:rsidP="0043612B">
      <w:pPr>
        <w:spacing w:after="0" w:line="240" w:lineRule="auto"/>
        <w:ind w:left="2160"/>
        <w:jc w:val="both"/>
      </w:pPr>
      <w:r>
        <w:t xml:space="preserve">(2) prepare a report that includes an overview of the survey conducted under Subdivision (1); and </w:t>
      </w:r>
    </w:p>
    <w:p w:rsidR="000674B4" w:rsidRDefault="000674B4" w:rsidP="0043612B">
      <w:pPr>
        <w:spacing w:after="0" w:line="240" w:lineRule="auto"/>
        <w:ind w:left="2160"/>
        <w:jc w:val="both"/>
      </w:pPr>
    </w:p>
    <w:p w:rsidR="000674B4" w:rsidRPr="005C2A78" w:rsidRDefault="000674B4" w:rsidP="0043612B">
      <w:pPr>
        <w:spacing w:after="0" w:line="240" w:lineRule="auto"/>
        <w:ind w:left="2160"/>
        <w:jc w:val="both"/>
        <w:rPr>
          <w:rFonts w:eastAsia="Times New Roman" w:cs="Times New Roman"/>
          <w:szCs w:val="24"/>
        </w:rPr>
      </w:pPr>
      <w:r>
        <w:t>(3) not later than December 15, 2020, submit the report described by Subdivision (2) to the governor, lieutenant governor, and speaker of the house of representatives. Deletes existing text requiring TWDB to undertake the studies, investigations, and surveys in a certain prioritized order.</w:t>
      </w:r>
    </w:p>
    <w:p w:rsidR="000674B4" w:rsidRPr="005C2A78" w:rsidRDefault="000674B4" w:rsidP="0043612B">
      <w:pPr>
        <w:spacing w:after="0" w:line="240" w:lineRule="auto"/>
        <w:jc w:val="both"/>
        <w:rPr>
          <w:rFonts w:eastAsia="Times New Roman" w:cs="Times New Roman"/>
          <w:szCs w:val="24"/>
        </w:rPr>
      </w:pPr>
    </w:p>
    <w:p w:rsidR="000674B4" w:rsidRPr="005C2A78" w:rsidRDefault="000674B4" w:rsidP="0043612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TWDB to implement a provision of this Act only if the legislature appropriates money specifically for that purpose. Authorizes, but does not require, TWDB, if the legislature does not appropriate money specifically for that purpose, to implement a provision of this Act using other appropriations available for that purpose. </w:t>
      </w:r>
    </w:p>
    <w:p w:rsidR="000674B4" w:rsidRPr="005C2A78" w:rsidRDefault="000674B4" w:rsidP="0043612B">
      <w:pPr>
        <w:spacing w:after="0" w:line="240" w:lineRule="auto"/>
        <w:jc w:val="both"/>
        <w:rPr>
          <w:rFonts w:eastAsia="Times New Roman" w:cs="Times New Roman"/>
          <w:szCs w:val="24"/>
        </w:rPr>
      </w:pPr>
    </w:p>
    <w:p w:rsidR="000674B4" w:rsidRPr="00C8671F" w:rsidRDefault="000674B4" w:rsidP="0043612B">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w:t>
      </w:r>
      <w:r>
        <w:t>Effective date: upon passage or September 1, 2019.</w:t>
      </w:r>
    </w:p>
    <w:sectPr w:rsidR="000674B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925" w:rsidRDefault="007A2925" w:rsidP="000F1DF9">
      <w:pPr>
        <w:spacing w:after="0" w:line="240" w:lineRule="auto"/>
      </w:pPr>
      <w:r>
        <w:separator/>
      </w:r>
    </w:p>
  </w:endnote>
  <w:endnote w:type="continuationSeparator" w:id="0">
    <w:p w:rsidR="007A2925" w:rsidRDefault="007A292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A292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674B4">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674B4">
                <w:rPr>
                  <w:sz w:val="20"/>
                  <w:szCs w:val="20"/>
                </w:rPr>
                <w:t>C.S.H.B. 721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674B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A292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674B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674B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925" w:rsidRDefault="007A2925" w:rsidP="000F1DF9">
      <w:pPr>
        <w:spacing w:after="0" w:line="240" w:lineRule="auto"/>
      </w:pPr>
      <w:r>
        <w:separator/>
      </w:r>
    </w:p>
  </w:footnote>
  <w:footnote w:type="continuationSeparator" w:id="0">
    <w:p w:rsidR="007A2925" w:rsidRDefault="007A292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74B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2925"/>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806B6"/>
  <w15:docId w15:val="{B0452FF5-4E45-436F-8205-D88E8C67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674B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3875">
      <w:bodyDiv w:val="1"/>
      <w:marLeft w:val="0"/>
      <w:marRight w:val="0"/>
      <w:marTop w:val="0"/>
      <w:marBottom w:val="0"/>
      <w:divBdr>
        <w:top w:val="none" w:sz="0" w:space="0" w:color="auto"/>
        <w:left w:val="none" w:sz="0" w:space="0" w:color="auto"/>
        <w:bottom w:val="none" w:sz="0" w:space="0" w:color="auto"/>
        <w:right w:val="none" w:sz="0" w:space="0" w:color="auto"/>
      </w:divBdr>
    </w:div>
    <w:div w:id="6098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6260D" w:rsidP="0026260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5B290D029D541E29568E4285A77E8AC"/>
        <w:category>
          <w:name w:val="General"/>
          <w:gallery w:val="placeholder"/>
        </w:category>
        <w:types>
          <w:type w:val="bbPlcHdr"/>
        </w:types>
        <w:behaviors>
          <w:behavior w:val="content"/>
        </w:behaviors>
        <w:guid w:val="{1C576C22-688B-41D9-A369-AC6A499F907E}"/>
      </w:docPartPr>
      <w:docPartBody>
        <w:p w:rsidR="00000000" w:rsidRDefault="008E094D"/>
      </w:docPartBody>
    </w:docPart>
    <w:docPart>
      <w:docPartPr>
        <w:name w:val="EEB3AC876A6744BE8F48DD3BE8143D50"/>
        <w:category>
          <w:name w:val="General"/>
          <w:gallery w:val="placeholder"/>
        </w:category>
        <w:types>
          <w:type w:val="bbPlcHdr"/>
        </w:types>
        <w:behaviors>
          <w:behavior w:val="content"/>
        </w:behaviors>
        <w:guid w:val="{1E3D28F9-1DE1-4D1B-9F99-AC8417174B04}"/>
      </w:docPartPr>
      <w:docPartBody>
        <w:p w:rsidR="00000000" w:rsidRDefault="008E094D"/>
      </w:docPartBody>
    </w:docPart>
    <w:docPart>
      <w:docPartPr>
        <w:name w:val="67AE31202D5B44F0B837BC69CE1B9528"/>
        <w:category>
          <w:name w:val="General"/>
          <w:gallery w:val="placeholder"/>
        </w:category>
        <w:types>
          <w:type w:val="bbPlcHdr"/>
        </w:types>
        <w:behaviors>
          <w:behavior w:val="content"/>
        </w:behaviors>
        <w:guid w:val="{9E091B36-FE99-4302-A33D-008721761C34}"/>
      </w:docPartPr>
      <w:docPartBody>
        <w:p w:rsidR="00000000" w:rsidRDefault="008E094D"/>
      </w:docPartBody>
    </w:docPart>
    <w:docPart>
      <w:docPartPr>
        <w:name w:val="4878867D218B472EA5FAC16A308AE701"/>
        <w:category>
          <w:name w:val="General"/>
          <w:gallery w:val="placeholder"/>
        </w:category>
        <w:types>
          <w:type w:val="bbPlcHdr"/>
        </w:types>
        <w:behaviors>
          <w:behavior w:val="content"/>
        </w:behaviors>
        <w:guid w:val="{CE46A9D7-C977-423A-8D65-98C7BB2673B7}"/>
      </w:docPartPr>
      <w:docPartBody>
        <w:p w:rsidR="00000000" w:rsidRDefault="008E094D"/>
      </w:docPartBody>
    </w:docPart>
    <w:docPart>
      <w:docPartPr>
        <w:name w:val="E11DD3FD1AA24EE79874503BBA1A83DE"/>
        <w:category>
          <w:name w:val="General"/>
          <w:gallery w:val="placeholder"/>
        </w:category>
        <w:types>
          <w:type w:val="bbPlcHdr"/>
        </w:types>
        <w:behaviors>
          <w:behavior w:val="content"/>
        </w:behaviors>
        <w:guid w:val="{F63B27BC-13FB-426F-9C16-2BF12E21CF93}"/>
      </w:docPartPr>
      <w:docPartBody>
        <w:p w:rsidR="00000000" w:rsidRDefault="008E094D"/>
      </w:docPartBody>
    </w:docPart>
    <w:docPart>
      <w:docPartPr>
        <w:name w:val="FEE1BCD21EFE4AFA83A782F555FD8042"/>
        <w:category>
          <w:name w:val="General"/>
          <w:gallery w:val="placeholder"/>
        </w:category>
        <w:types>
          <w:type w:val="bbPlcHdr"/>
        </w:types>
        <w:behaviors>
          <w:behavior w:val="content"/>
        </w:behaviors>
        <w:guid w:val="{99819243-B82D-4F81-891B-82E88B0C840B}"/>
      </w:docPartPr>
      <w:docPartBody>
        <w:p w:rsidR="00000000" w:rsidRDefault="008E094D"/>
      </w:docPartBody>
    </w:docPart>
    <w:docPart>
      <w:docPartPr>
        <w:name w:val="A7FC92BBB37F4DFCACB9ADBBBE9D5A6E"/>
        <w:category>
          <w:name w:val="General"/>
          <w:gallery w:val="placeholder"/>
        </w:category>
        <w:types>
          <w:type w:val="bbPlcHdr"/>
        </w:types>
        <w:behaviors>
          <w:behavior w:val="content"/>
        </w:behaviors>
        <w:guid w:val="{786226B9-DA06-4B6D-A945-1EA70DA84F33}"/>
      </w:docPartPr>
      <w:docPartBody>
        <w:p w:rsidR="00000000" w:rsidRDefault="008E094D"/>
      </w:docPartBody>
    </w:docPart>
    <w:docPart>
      <w:docPartPr>
        <w:name w:val="29E5B009617842C095A111440A29341F"/>
        <w:category>
          <w:name w:val="General"/>
          <w:gallery w:val="placeholder"/>
        </w:category>
        <w:types>
          <w:type w:val="bbPlcHdr"/>
        </w:types>
        <w:behaviors>
          <w:behavior w:val="content"/>
        </w:behaviors>
        <w:guid w:val="{34559ABA-6BC1-4982-9E0D-C7BAF96477A6}"/>
      </w:docPartPr>
      <w:docPartBody>
        <w:p w:rsidR="00000000" w:rsidRDefault="008E094D"/>
      </w:docPartBody>
    </w:docPart>
    <w:docPart>
      <w:docPartPr>
        <w:name w:val="FEE8DCBFEAFB4951991DA67EFBBD5DF4"/>
        <w:category>
          <w:name w:val="General"/>
          <w:gallery w:val="placeholder"/>
        </w:category>
        <w:types>
          <w:type w:val="bbPlcHdr"/>
        </w:types>
        <w:behaviors>
          <w:behavior w:val="content"/>
        </w:behaviors>
        <w:guid w:val="{22A39E31-2B24-4940-8407-F6FD4CA7A70C}"/>
      </w:docPartPr>
      <w:docPartBody>
        <w:p w:rsidR="00000000" w:rsidRDefault="0026260D" w:rsidP="0026260D">
          <w:pPr>
            <w:pStyle w:val="FEE8DCBFEAFB4951991DA67EFBBD5DF4"/>
          </w:pPr>
          <w:r w:rsidRPr="00A30DD1">
            <w:rPr>
              <w:rStyle w:val="PlaceholderText"/>
            </w:rPr>
            <w:t>Click here to enter a date.</w:t>
          </w:r>
        </w:p>
      </w:docPartBody>
    </w:docPart>
    <w:docPart>
      <w:docPartPr>
        <w:name w:val="6212A657F7AA4387AE0252E8C585717B"/>
        <w:category>
          <w:name w:val="General"/>
          <w:gallery w:val="placeholder"/>
        </w:category>
        <w:types>
          <w:type w:val="bbPlcHdr"/>
        </w:types>
        <w:behaviors>
          <w:behavior w:val="content"/>
        </w:behaviors>
        <w:guid w:val="{68674A5D-24F3-479B-B2B0-EC11ABD0E5AA}"/>
      </w:docPartPr>
      <w:docPartBody>
        <w:p w:rsidR="00000000" w:rsidRDefault="008E094D"/>
      </w:docPartBody>
    </w:docPart>
    <w:docPart>
      <w:docPartPr>
        <w:name w:val="D007EF6CFFDF4556B72526BD9B7718EE"/>
        <w:category>
          <w:name w:val="General"/>
          <w:gallery w:val="placeholder"/>
        </w:category>
        <w:types>
          <w:type w:val="bbPlcHdr"/>
        </w:types>
        <w:behaviors>
          <w:behavior w:val="content"/>
        </w:behaviors>
        <w:guid w:val="{7B1D237A-AA1C-4F78-9AA5-F8071ADCD8FB}"/>
      </w:docPartPr>
      <w:docPartBody>
        <w:p w:rsidR="00000000" w:rsidRDefault="008E094D"/>
      </w:docPartBody>
    </w:docPart>
    <w:docPart>
      <w:docPartPr>
        <w:name w:val="8559B709E57C40609EFF0BFF2F0A3A27"/>
        <w:category>
          <w:name w:val="General"/>
          <w:gallery w:val="placeholder"/>
        </w:category>
        <w:types>
          <w:type w:val="bbPlcHdr"/>
        </w:types>
        <w:behaviors>
          <w:behavior w:val="content"/>
        </w:behaviors>
        <w:guid w:val="{42AAC868-876D-4B97-A9F4-569BE4F818DF}"/>
      </w:docPartPr>
      <w:docPartBody>
        <w:p w:rsidR="00000000" w:rsidRDefault="0026260D" w:rsidP="0026260D">
          <w:pPr>
            <w:pStyle w:val="8559B709E57C40609EFF0BFF2F0A3A27"/>
          </w:pPr>
          <w:r>
            <w:rPr>
              <w:rFonts w:eastAsia="Times New Roman" w:cs="Times New Roman"/>
              <w:bCs/>
              <w:szCs w:val="24"/>
            </w:rPr>
            <w:t xml:space="preserve"> </w:t>
          </w:r>
        </w:p>
      </w:docPartBody>
    </w:docPart>
    <w:docPart>
      <w:docPartPr>
        <w:name w:val="33A2E3B7811149659113F933C619F6D6"/>
        <w:category>
          <w:name w:val="General"/>
          <w:gallery w:val="placeholder"/>
        </w:category>
        <w:types>
          <w:type w:val="bbPlcHdr"/>
        </w:types>
        <w:behaviors>
          <w:behavior w:val="content"/>
        </w:behaviors>
        <w:guid w:val="{EA0C0233-B7F3-4F91-A663-3660EBB37929}"/>
      </w:docPartPr>
      <w:docPartBody>
        <w:p w:rsidR="00000000" w:rsidRDefault="008E094D"/>
      </w:docPartBody>
    </w:docPart>
    <w:docPart>
      <w:docPartPr>
        <w:name w:val="26B68263507D4A3096B12A63DE12107F"/>
        <w:category>
          <w:name w:val="General"/>
          <w:gallery w:val="placeholder"/>
        </w:category>
        <w:types>
          <w:type w:val="bbPlcHdr"/>
        </w:types>
        <w:behaviors>
          <w:behavior w:val="content"/>
        </w:behaviors>
        <w:guid w:val="{990F5A1A-FB99-43A9-84EA-1648200EECF2}"/>
      </w:docPartPr>
      <w:docPartBody>
        <w:p w:rsidR="00000000" w:rsidRDefault="008E09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260D"/>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E094D"/>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6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6260D"/>
    <w:rPr>
      <w:rFonts w:ascii="Times New Roman" w:hAnsi="Times New Roman"/>
      <w:sz w:val="24"/>
    </w:rPr>
  </w:style>
  <w:style w:type="paragraph" w:customStyle="1" w:styleId="487D89B4F8B34DB4967D41FE18F7F88D9">
    <w:name w:val="487D89B4F8B34DB4967D41FE18F7F88D9"/>
    <w:rsid w:val="0026260D"/>
    <w:rPr>
      <w:rFonts w:ascii="Times New Roman" w:hAnsi="Times New Roman"/>
      <w:sz w:val="24"/>
    </w:rPr>
  </w:style>
  <w:style w:type="paragraph" w:customStyle="1" w:styleId="AE2570ED5D764CD7AF9686706F550F4622">
    <w:name w:val="AE2570ED5D764CD7AF9686706F550F4622"/>
    <w:rsid w:val="0026260D"/>
    <w:pPr>
      <w:tabs>
        <w:tab w:val="center" w:pos="4680"/>
        <w:tab w:val="right" w:pos="9360"/>
      </w:tabs>
      <w:spacing w:after="0" w:line="240" w:lineRule="auto"/>
    </w:pPr>
    <w:rPr>
      <w:rFonts w:ascii="Times New Roman" w:hAnsi="Times New Roman"/>
      <w:sz w:val="24"/>
    </w:rPr>
  </w:style>
  <w:style w:type="paragraph" w:customStyle="1" w:styleId="FEE8DCBFEAFB4951991DA67EFBBD5DF4">
    <w:name w:val="FEE8DCBFEAFB4951991DA67EFBBD5DF4"/>
    <w:rsid w:val="0026260D"/>
    <w:pPr>
      <w:spacing w:after="160" w:line="259" w:lineRule="auto"/>
    </w:pPr>
  </w:style>
  <w:style w:type="paragraph" w:customStyle="1" w:styleId="8559B709E57C40609EFF0BFF2F0A3A27">
    <w:name w:val="8559B709E57C40609EFF0BFF2F0A3A27"/>
    <w:rsid w:val="002626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10B8008-06B8-4069-8094-7D26C7AC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664</Words>
  <Characters>3785</Characters>
  <Application>Microsoft Office Word</Application>
  <DocSecurity>0</DocSecurity>
  <Lines>31</Lines>
  <Paragraphs>8</Paragraphs>
  <ScaleCrop>false</ScaleCrop>
  <Company>Texas Legislative Council</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2019-05-14T03:43:00Z</cp:lastPrinted>
  <dcterms:created xsi:type="dcterms:W3CDTF">2015-05-29T14:24:00Z</dcterms:created>
  <dcterms:modified xsi:type="dcterms:W3CDTF">2019-05-14T03:43:00Z</dcterms:modified>
</cp:coreProperties>
</file>

<file path=docProps/custom.xml><?xml version="1.0" encoding="utf-8"?>
<op:Properties xmlns:vt="http://schemas.openxmlformats.org/officeDocument/2006/docPropsVTypes" xmlns:op="http://schemas.openxmlformats.org/officeDocument/2006/custom-properties"/>
</file>