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52A85" w:rsidTr="00345119">
        <w:tc>
          <w:tcPr>
            <w:tcW w:w="9576" w:type="dxa"/>
            <w:noWrap/>
          </w:tcPr>
          <w:p w:rsidR="008423E4" w:rsidRPr="0022177D" w:rsidRDefault="00D95DF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95DFB" w:rsidP="008423E4">
      <w:pPr>
        <w:jc w:val="center"/>
      </w:pPr>
    </w:p>
    <w:p w:rsidR="008423E4" w:rsidRPr="00B31F0E" w:rsidRDefault="00D95DFB" w:rsidP="008423E4"/>
    <w:p w:rsidR="008423E4" w:rsidRPr="00742794" w:rsidRDefault="00D95DF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52A85" w:rsidTr="00345119">
        <w:tc>
          <w:tcPr>
            <w:tcW w:w="9576" w:type="dxa"/>
          </w:tcPr>
          <w:p w:rsidR="008423E4" w:rsidRPr="00861995" w:rsidRDefault="00D95DFB" w:rsidP="00345119">
            <w:pPr>
              <w:jc w:val="right"/>
            </w:pPr>
            <w:r>
              <w:t>C.S.H.B. 803</w:t>
            </w:r>
          </w:p>
        </w:tc>
      </w:tr>
      <w:tr w:rsidR="00552A85" w:rsidTr="00345119">
        <w:tc>
          <w:tcPr>
            <w:tcW w:w="9576" w:type="dxa"/>
          </w:tcPr>
          <w:p w:rsidR="008423E4" w:rsidRPr="00861995" w:rsidRDefault="00D95DFB" w:rsidP="00FD2506">
            <w:pPr>
              <w:jc w:val="right"/>
            </w:pPr>
            <w:r>
              <w:t xml:space="preserve">By: </w:t>
            </w:r>
            <w:r>
              <w:t>Patterson</w:t>
            </w:r>
          </w:p>
        </w:tc>
      </w:tr>
      <w:tr w:rsidR="00552A85" w:rsidTr="00345119">
        <w:tc>
          <w:tcPr>
            <w:tcW w:w="9576" w:type="dxa"/>
          </w:tcPr>
          <w:p w:rsidR="008423E4" w:rsidRPr="00861995" w:rsidRDefault="00D95DFB" w:rsidP="00345119">
            <w:pPr>
              <w:jc w:val="right"/>
            </w:pPr>
            <w:r>
              <w:t>Transportation</w:t>
            </w:r>
          </w:p>
        </w:tc>
      </w:tr>
      <w:tr w:rsidR="00552A85" w:rsidTr="00345119">
        <w:tc>
          <w:tcPr>
            <w:tcW w:w="9576" w:type="dxa"/>
          </w:tcPr>
          <w:p w:rsidR="008423E4" w:rsidRDefault="00D95DFB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D95DFB" w:rsidP="008423E4">
      <w:pPr>
        <w:tabs>
          <w:tab w:val="right" w:pos="9360"/>
        </w:tabs>
      </w:pPr>
    </w:p>
    <w:p w:rsidR="008423E4" w:rsidRDefault="00D95DFB" w:rsidP="008423E4"/>
    <w:p w:rsidR="008423E4" w:rsidRDefault="00D95DF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52A85" w:rsidTr="00345119">
        <w:tc>
          <w:tcPr>
            <w:tcW w:w="9576" w:type="dxa"/>
          </w:tcPr>
          <w:p w:rsidR="008423E4" w:rsidRPr="00A8133F" w:rsidRDefault="00D95DFB" w:rsidP="00F56C3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95DFB" w:rsidP="00F56C39"/>
          <w:p w:rsidR="008423E4" w:rsidRDefault="00D95DFB" w:rsidP="00F56C3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</w:t>
            </w:r>
            <w:r w:rsidRPr="000E35FA">
              <w:t>note</w:t>
            </w:r>
            <w:r>
              <w:t>d</w:t>
            </w:r>
            <w:r w:rsidRPr="000E35FA">
              <w:t xml:space="preserve"> that</w:t>
            </w:r>
            <w:r>
              <w:t xml:space="preserve"> while many</w:t>
            </w:r>
            <w:r w:rsidRPr="000E35FA">
              <w:t xml:space="preserve"> toll project entities publish financial data regarding their operations, </w:t>
            </w:r>
            <w:r>
              <w:t xml:space="preserve">the data may be obscured in lengthy financial reporting documents not easily accessible to the general public. </w:t>
            </w:r>
            <w:r>
              <w:t>C.S.</w:t>
            </w:r>
            <w:r w:rsidRPr="000E35FA">
              <w:t>H</w:t>
            </w:r>
            <w:r>
              <w:t>.</w:t>
            </w:r>
            <w:r w:rsidRPr="000E35FA">
              <w:t>B</w:t>
            </w:r>
            <w:r>
              <w:t>.</w:t>
            </w:r>
            <w:r>
              <w:t> </w:t>
            </w:r>
            <w:r w:rsidRPr="000E35FA">
              <w:t xml:space="preserve"> 803 </w:t>
            </w:r>
            <w:r>
              <w:t xml:space="preserve">seeks to address this issue by </w:t>
            </w:r>
            <w:r w:rsidRPr="000E35FA">
              <w:t>requir</w:t>
            </w:r>
            <w:r>
              <w:t>ing</w:t>
            </w:r>
            <w:r w:rsidRPr="000E35FA">
              <w:t xml:space="preserve"> toll project entities to publish annual reports </w:t>
            </w:r>
            <w:r>
              <w:t>prominently displayed on the entity's webs</w:t>
            </w:r>
            <w:r>
              <w:t xml:space="preserve">ite containing </w:t>
            </w:r>
            <w:r w:rsidRPr="000E35FA">
              <w:t xml:space="preserve">specific </w:t>
            </w:r>
            <w:r>
              <w:t>financial disclosure information of interest to the general public</w:t>
            </w:r>
            <w:r w:rsidRPr="000E35FA">
              <w:t xml:space="preserve">.  </w:t>
            </w:r>
          </w:p>
          <w:p w:rsidR="008423E4" w:rsidRPr="00E26B13" w:rsidRDefault="00D95DFB" w:rsidP="00F56C39">
            <w:pPr>
              <w:rPr>
                <w:b/>
              </w:rPr>
            </w:pPr>
          </w:p>
        </w:tc>
      </w:tr>
      <w:tr w:rsidR="00552A85" w:rsidTr="00345119">
        <w:tc>
          <w:tcPr>
            <w:tcW w:w="9576" w:type="dxa"/>
          </w:tcPr>
          <w:p w:rsidR="0017725B" w:rsidRDefault="00D95DFB" w:rsidP="00F56C3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95DFB" w:rsidP="00F56C39">
            <w:pPr>
              <w:rPr>
                <w:b/>
                <w:u w:val="single"/>
              </w:rPr>
            </w:pPr>
          </w:p>
          <w:p w:rsidR="00E476F4" w:rsidRPr="00E476F4" w:rsidRDefault="00D95DFB" w:rsidP="00F56C39">
            <w:pPr>
              <w:jc w:val="both"/>
            </w:pPr>
            <w:r>
              <w:t>It is the committee's opinion that this bill does not expressly create a criminal offense, increase the punishment for an existing crim</w:t>
            </w:r>
            <w:r>
              <w:t>inal offense or category of offenses, or change the eligibility of a person for community supervision, parole, or mandatory supervision.</w:t>
            </w:r>
          </w:p>
          <w:p w:rsidR="0017725B" w:rsidRPr="0017725B" w:rsidRDefault="00D95DFB" w:rsidP="00F56C39">
            <w:pPr>
              <w:rPr>
                <w:b/>
                <w:u w:val="single"/>
              </w:rPr>
            </w:pPr>
          </w:p>
        </w:tc>
      </w:tr>
      <w:tr w:rsidR="00552A85" w:rsidTr="00345119">
        <w:tc>
          <w:tcPr>
            <w:tcW w:w="9576" w:type="dxa"/>
          </w:tcPr>
          <w:p w:rsidR="008423E4" w:rsidRPr="00A8133F" w:rsidRDefault="00D95DFB" w:rsidP="00F56C3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95DFB" w:rsidP="00F56C39"/>
          <w:p w:rsidR="00E476F4" w:rsidRDefault="00D95DFB" w:rsidP="00F56C3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</w:t>
            </w:r>
            <w:r>
              <w:t>rulemaking authority to a state officer, department, agency, or institution.</w:t>
            </w:r>
          </w:p>
          <w:p w:rsidR="008423E4" w:rsidRPr="00E21FDC" w:rsidRDefault="00D95DFB" w:rsidP="00F56C39">
            <w:pPr>
              <w:rPr>
                <w:b/>
              </w:rPr>
            </w:pPr>
          </w:p>
        </w:tc>
      </w:tr>
      <w:tr w:rsidR="00552A85" w:rsidTr="00345119">
        <w:tc>
          <w:tcPr>
            <w:tcW w:w="9576" w:type="dxa"/>
          </w:tcPr>
          <w:p w:rsidR="008423E4" w:rsidRPr="00A8133F" w:rsidRDefault="00D95DFB" w:rsidP="00F56C3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95DFB" w:rsidP="00F56C39"/>
          <w:p w:rsidR="002378D4" w:rsidRDefault="00D95DFB" w:rsidP="00F56C3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803 amends the Transportation Code to require a toll project entity, not later than </w:t>
            </w:r>
            <w:r>
              <w:t xml:space="preserve">the 180th day after the last day of </w:t>
            </w:r>
            <w:r>
              <w:t>the</w:t>
            </w:r>
            <w:r>
              <w:t xml:space="preserve"> entity's fiscal year</w:t>
            </w:r>
            <w:r>
              <w:t xml:space="preserve">, to </w:t>
            </w:r>
            <w:r w:rsidRPr="00E476F4">
              <w:t xml:space="preserve">publish </w:t>
            </w:r>
            <w:r w:rsidRPr="00E476F4">
              <w:t>on the entity's website a report on the entity's annual financial data, including</w:t>
            </w:r>
            <w:r>
              <w:t xml:space="preserve"> the following:</w:t>
            </w:r>
          </w:p>
          <w:p w:rsidR="008423E4" w:rsidRDefault="00D95DFB" w:rsidP="00F56C3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the final maturity of all bonds issued by the entity for a toll project or system;</w:t>
            </w:r>
          </w:p>
          <w:p w:rsidR="002378D4" w:rsidRDefault="00D95DFB" w:rsidP="00F56C3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toll revenue for each toll project for the previous fiscal year;</w:t>
            </w:r>
          </w:p>
          <w:p w:rsidR="002378D4" w:rsidRDefault="00D95DFB" w:rsidP="00F56C3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an accounti</w:t>
            </w:r>
            <w:r>
              <w:t>ng of total revenue collected and expenses incurred by the entity for the previous fiscal year, such as debt service, maintenance and operation costs, any other miscellaneous expenses, and any surplus revenue; and</w:t>
            </w:r>
          </w:p>
          <w:p w:rsidR="002378D4" w:rsidRDefault="00D95DFB" w:rsidP="00F56C3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a capital improvement plan with proposed o</w:t>
            </w:r>
            <w:r>
              <w:t>r expected capital expenditures over a period determined by the entity.</w:t>
            </w:r>
          </w:p>
          <w:p w:rsidR="008467B9" w:rsidRDefault="00D95DFB" w:rsidP="00F56C39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The bill authorizes a toll project entity to report, in addition to these requirements, any money deposited by the entity </w:t>
            </w:r>
            <w:r>
              <w:t>in a debt service reserve fund as required by a bondholder agr</w:t>
            </w:r>
            <w:r>
              <w:t xml:space="preserve">eement. The bill sets out additional </w:t>
            </w:r>
            <w:r>
              <w:t>requirements</w:t>
            </w:r>
            <w:r>
              <w:t xml:space="preserve"> relating to the display and publication of certain information by a toll project entity on the entity's website.</w:t>
            </w:r>
          </w:p>
          <w:p w:rsidR="008467B9" w:rsidRDefault="00D95DFB" w:rsidP="00F56C39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</w:p>
          <w:p w:rsidR="002378D4" w:rsidRDefault="00D95DFB" w:rsidP="00F56C39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C.S.H.B. 803 limits the information required to be so published by a toll project entity for</w:t>
            </w:r>
            <w:r>
              <w:t xml:space="preserve"> a toll project that is the subject of a comprehensive development agreement to </w:t>
            </w:r>
            <w:r w:rsidRPr="008467B9">
              <w:t>the name and cost of the toll project and the termination date of the agreement.</w:t>
            </w:r>
          </w:p>
          <w:p w:rsidR="008423E4" w:rsidRPr="00835628" w:rsidRDefault="00D95DFB" w:rsidP="00F56C39">
            <w:pPr>
              <w:rPr>
                <w:b/>
              </w:rPr>
            </w:pPr>
          </w:p>
        </w:tc>
      </w:tr>
      <w:tr w:rsidR="00552A85" w:rsidTr="00345119">
        <w:tc>
          <w:tcPr>
            <w:tcW w:w="9576" w:type="dxa"/>
          </w:tcPr>
          <w:p w:rsidR="008423E4" w:rsidRPr="00A8133F" w:rsidRDefault="00D95DFB" w:rsidP="00F56C3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95DFB" w:rsidP="00F56C39"/>
          <w:p w:rsidR="008423E4" w:rsidRPr="003624F2" w:rsidRDefault="00D95DFB" w:rsidP="00F56C3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D95DFB" w:rsidP="00F56C39">
            <w:pPr>
              <w:rPr>
                <w:b/>
              </w:rPr>
            </w:pPr>
          </w:p>
        </w:tc>
      </w:tr>
      <w:tr w:rsidR="00552A85" w:rsidTr="00345119">
        <w:tc>
          <w:tcPr>
            <w:tcW w:w="9576" w:type="dxa"/>
          </w:tcPr>
          <w:p w:rsidR="00FD2506" w:rsidRDefault="00D95DFB" w:rsidP="00FD250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6F7962" w:rsidRDefault="00D95DFB" w:rsidP="00FD2506">
            <w:pPr>
              <w:jc w:val="both"/>
              <w:rPr>
                <w:b/>
                <w:u w:val="single"/>
              </w:rPr>
            </w:pPr>
          </w:p>
          <w:p w:rsidR="00893F5D" w:rsidRDefault="00D95DFB" w:rsidP="00893F5D">
            <w:pPr>
              <w:jc w:val="both"/>
            </w:pPr>
            <w:r>
              <w:t xml:space="preserve">While C.S.H.B. </w:t>
            </w:r>
            <w:r>
              <w:t>803 may differ from the original in minor or nonsubstantive ways, the following summarizes the substantial differences between the introduced and committee substitute versions of the bill.</w:t>
            </w:r>
          </w:p>
          <w:p w:rsidR="00893F5D" w:rsidRDefault="00D95DFB" w:rsidP="00893F5D">
            <w:pPr>
              <w:jc w:val="both"/>
            </w:pPr>
          </w:p>
          <w:p w:rsidR="00893F5D" w:rsidRDefault="00D95DFB" w:rsidP="00893F5D">
            <w:pPr>
              <w:jc w:val="both"/>
            </w:pPr>
            <w:r>
              <w:t>The substitute changes the deadline by which the toll project enti</w:t>
            </w:r>
            <w:r>
              <w:t xml:space="preserve">ty is required to publish the report and revises the information required to be included in the report. </w:t>
            </w:r>
          </w:p>
          <w:p w:rsidR="00893F5D" w:rsidRDefault="00D95DFB" w:rsidP="00893F5D">
            <w:pPr>
              <w:jc w:val="both"/>
            </w:pPr>
          </w:p>
          <w:p w:rsidR="00893F5D" w:rsidRDefault="00D95DFB" w:rsidP="00893F5D">
            <w:pPr>
              <w:jc w:val="both"/>
            </w:pPr>
            <w:r>
              <w:t xml:space="preserve">The substitute includes the following: </w:t>
            </w:r>
          </w:p>
          <w:p w:rsidR="00893F5D" w:rsidRDefault="00D95DFB" w:rsidP="00893F5D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an authorization for a toll project entity to report any money deposited by the entity in a debt service </w:t>
            </w:r>
            <w:r>
              <w:t>reserve fund as required by a bondholder agreement;</w:t>
            </w:r>
          </w:p>
          <w:p w:rsidR="00893F5D" w:rsidRDefault="00D95DFB" w:rsidP="00893F5D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</w:pPr>
            <w:r>
              <w:t>requirements relating to the display and publication of information by a toll project entity on the entity's website; and</w:t>
            </w:r>
          </w:p>
          <w:p w:rsidR="00893F5D" w:rsidRDefault="00D95DFB" w:rsidP="00893F5D">
            <w:pPr>
              <w:jc w:val="both"/>
            </w:pPr>
            <w:r>
              <w:t>a limitation on the information required to be published about a toll project that</w:t>
            </w:r>
            <w:r>
              <w:t xml:space="preserve"> is the subject of a comprehensive development agreement.</w:t>
            </w:r>
          </w:p>
          <w:p w:rsidR="00893F5D" w:rsidRPr="00FD2506" w:rsidRDefault="00D95DFB" w:rsidP="00893F5D">
            <w:pPr>
              <w:jc w:val="both"/>
              <w:rPr>
                <w:b/>
                <w:u w:val="single"/>
              </w:rPr>
            </w:pPr>
          </w:p>
        </w:tc>
      </w:tr>
    </w:tbl>
    <w:p w:rsidR="008423E4" w:rsidRPr="00BE0E75" w:rsidRDefault="00D95DF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95DFB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95DFB">
      <w:r>
        <w:separator/>
      </w:r>
    </w:p>
  </w:endnote>
  <w:endnote w:type="continuationSeparator" w:id="0">
    <w:p w:rsidR="00000000" w:rsidRDefault="00D9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95D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52A85" w:rsidTr="009C1E9A">
      <w:trPr>
        <w:cantSplit/>
      </w:trPr>
      <w:tc>
        <w:tcPr>
          <w:tcW w:w="0" w:type="pct"/>
        </w:tcPr>
        <w:p w:rsidR="00137D90" w:rsidRDefault="00D95DF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95DF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95DF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95DF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95DF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52A85" w:rsidTr="009C1E9A">
      <w:trPr>
        <w:cantSplit/>
      </w:trPr>
      <w:tc>
        <w:tcPr>
          <w:tcW w:w="0" w:type="pct"/>
        </w:tcPr>
        <w:p w:rsidR="00EC379B" w:rsidRDefault="00D95DF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95DF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29122</w:t>
          </w:r>
        </w:p>
      </w:tc>
      <w:tc>
        <w:tcPr>
          <w:tcW w:w="2453" w:type="pct"/>
        </w:tcPr>
        <w:p w:rsidR="00EC379B" w:rsidRDefault="00D95DF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19.112.548</w:t>
          </w:r>
          <w:r>
            <w:fldChar w:fldCharType="end"/>
          </w:r>
        </w:p>
      </w:tc>
    </w:tr>
    <w:tr w:rsidR="00552A85" w:rsidTr="009C1E9A">
      <w:trPr>
        <w:cantSplit/>
      </w:trPr>
      <w:tc>
        <w:tcPr>
          <w:tcW w:w="0" w:type="pct"/>
        </w:tcPr>
        <w:p w:rsidR="00EC379B" w:rsidRDefault="00D95DF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95DF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18564</w:t>
          </w:r>
        </w:p>
      </w:tc>
      <w:tc>
        <w:tcPr>
          <w:tcW w:w="2453" w:type="pct"/>
        </w:tcPr>
        <w:p w:rsidR="00EC379B" w:rsidRDefault="00D95DFB" w:rsidP="006D504F">
          <w:pPr>
            <w:pStyle w:val="Footer"/>
            <w:rPr>
              <w:rStyle w:val="PageNumber"/>
            </w:rPr>
          </w:pPr>
        </w:p>
        <w:p w:rsidR="00EC379B" w:rsidRDefault="00D95DF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52A8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95DF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D95DF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95DF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95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95DFB">
      <w:r>
        <w:separator/>
      </w:r>
    </w:p>
  </w:footnote>
  <w:footnote w:type="continuationSeparator" w:id="0">
    <w:p w:rsidR="00000000" w:rsidRDefault="00D95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95D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95D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95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06413"/>
    <w:multiLevelType w:val="hybridMultilevel"/>
    <w:tmpl w:val="1180C0F4"/>
    <w:lvl w:ilvl="0" w:tplc="66765D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7044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1CD9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6845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70D9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CE26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E227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7CAC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3884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C5146"/>
    <w:multiLevelType w:val="hybridMultilevel"/>
    <w:tmpl w:val="86DE763E"/>
    <w:lvl w:ilvl="0" w:tplc="98A68DB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B043F68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A7E08C4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8272E70C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70F02686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60EEFAD6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955E9DF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8A380E02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A21809BC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85"/>
    <w:rsid w:val="00552A85"/>
    <w:rsid w:val="00D9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CEF922B-E0D9-4214-92B2-6139A75E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476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476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76F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476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476F4"/>
    <w:rPr>
      <w:b/>
      <w:bCs/>
    </w:rPr>
  </w:style>
  <w:style w:type="paragraph" w:styleId="Revision">
    <w:name w:val="Revision"/>
    <w:hidden/>
    <w:uiPriority w:val="99"/>
    <w:semiHidden/>
    <w:rsid w:val="00A179C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53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2800</Characters>
  <Application>Microsoft Office Word</Application>
  <DocSecurity>4</DocSecurity>
  <Lines>73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HB00803 (Committee Report (Substituted))</vt:lpstr>
    </vt:vector>
  </TitlesOfParts>
  <Company>State of Texas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29122</dc:subject>
  <dc:creator>State of Texas</dc:creator>
  <dc:description>HB 803 by Patterson-(H)Transportation (Substitute Document Number: 86R 18564)</dc:description>
  <cp:lastModifiedBy>Scotty Wimberley</cp:lastModifiedBy>
  <cp:revision>2</cp:revision>
  <cp:lastPrinted>2003-11-26T17:21:00Z</cp:lastPrinted>
  <dcterms:created xsi:type="dcterms:W3CDTF">2019-04-25T00:18:00Z</dcterms:created>
  <dcterms:modified xsi:type="dcterms:W3CDTF">2019-04-25T00:18:00Z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19.112.548</vt:lpwstr>
  </property>
</Properties>
</file>