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69" w:rsidRDefault="00665D6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CF94503405043CFBCFC72BE339E87C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65D69" w:rsidRPr="00585C31" w:rsidRDefault="00665D69" w:rsidP="000F1DF9">
      <w:pPr>
        <w:spacing w:after="0" w:line="240" w:lineRule="auto"/>
        <w:rPr>
          <w:rFonts w:cs="Times New Roman"/>
          <w:szCs w:val="24"/>
        </w:rPr>
      </w:pPr>
    </w:p>
    <w:p w:rsidR="00665D69" w:rsidRPr="00585C31" w:rsidRDefault="00665D6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65D69" w:rsidTr="000F1DF9">
        <w:tc>
          <w:tcPr>
            <w:tcW w:w="2718" w:type="dxa"/>
          </w:tcPr>
          <w:p w:rsidR="00665D69" w:rsidRPr="005C2A78" w:rsidRDefault="00665D6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D0025B08CCA43B69746442541CBED1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65D69" w:rsidRPr="00FF6471" w:rsidRDefault="00665D6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344543045CF4C2BA31CED1E8F1761A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808</w:t>
                </w:r>
              </w:sdtContent>
            </w:sdt>
          </w:p>
        </w:tc>
      </w:tr>
      <w:tr w:rsidR="00665D6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744A1AA32074C0091EEB62AD2259656"/>
            </w:placeholder>
          </w:sdtPr>
          <w:sdtContent>
            <w:tc>
              <w:tcPr>
                <w:tcW w:w="2718" w:type="dxa"/>
              </w:tcPr>
              <w:p w:rsidR="00665D69" w:rsidRPr="000F1DF9" w:rsidRDefault="00665D6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86R10982 MP-D</w:t>
                </w:r>
              </w:p>
            </w:tc>
          </w:sdtContent>
        </w:sdt>
        <w:tc>
          <w:tcPr>
            <w:tcW w:w="6858" w:type="dxa"/>
          </w:tcPr>
          <w:p w:rsidR="00665D69" w:rsidRPr="005C2A78" w:rsidRDefault="00665D6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CD5E8CD51F44C719A23FA80289319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7DC5F6FF338444D9024F90CAE97D0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Dutton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B0D64108DC4426F90264301076231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665D69" w:rsidTr="000F1DF9">
        <w:tc>
          <w:tcPr>
            <w:tcW w:w="2718" w:type="dxa"/>
          </w:tcPr>
          <w:p w:rsidR="00665D69" w:rsidRPr="00BC7495" w:rsidRDefault="00665D6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D237FF49F1D40A493E329A2C32BC3E0"/>
            </w:placeholder>
          </w:sdtPr>
          <w:sdtContent>
            <w:tc>
              <w:tcPr>
                <w:tcW w:w="6858" w:type="dxa"/>
              </w:tcPr>
              <w:p w:rsidR="00665D69" w:rsidRPr="00FF6471" w:rsidRDefault="00665D6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665D69" w:rsidTr="000F1DF9">
        <w:tc>
          <w:tcPr>
            <w:tcW w:w="2718" w:type="dxa"/>
          </w:tcPr>
          <w:p w:rsidR="00665D69" w:rsidRPr="00BC7495" w:rsidRDefault="00665D6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0BF25E58D464942870703A4C71BB0AE"/>
            </w:placeholder>
            <w:date w:fullDate="2019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65D69" w:rsidRPr="00FF6471" w:rsidRDefault="00665D6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5/18/2019</w:t>
                </w:r>
              </w:p>
            </w:tc>
          </w:sdtContent>
        </w:sdt>
      </w:tr>
      <w:tr w:rsidR="00665D69" w:rsidTr="000F1DF9">
        <w:tc>
          <w:tcPr>
            <w:tcW w:w="2718" w:type="dxa"/>
          </w:tcPr>
          <w:p w:rsidR="00665D69" w:rsidRPr="00BC7495" w:rsidRDefault="00665D6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FAFA51202E84A2386589AF024609EE0"/>
            </w:placeholder>
          </w:sdtPr>
          <w:sdtContent>
            <w:tc>
              <w:tcPr>
                <w:tcW w:w="6858" w:type="dxa"/>
              </w:tcPr>
              <w:p w:rsidR="00665D69" w:rsidRPr="00FF6471" w:rsidRDefault="00665D6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65D69" w:rsidRPr="00FF6471" w:rsidRDefault="00665D69" w:rsidP="000F1DF9">
      <w:pPr>
        <w:spacing w:after="0" w:line="240" w:lineRule="auto"/>
        <w:rPr>
          <w:rFonts w:cs="Times New Roman"/>
          <w:szCs w:val="24"/>
        </w:rPr>
      </w:pPr>
    </w:p>
    <w:p w:rsidR="00665D69" w:rsidRPr="00FF6471" w:rsidRDefault="00665D69" w:rsidP="000F1DF9">
      <w:pPr>
        <w:spacing w:after="0" w:line="240" w:lineRule="auto"/>
        <w:rPr>
          <w:rFonts w:cs="Times New Roman"/>
          <w:szCs w:val="24"/>
        </w:rPr>
      </w:pPr>
    </w:p>
    <w:p w:rsidR="00665D69" w:rsidRPr="00FF6471" w:rsidRDefault="00665D6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05DD77C14F648DBB3D70C180073F1BE"/>
        </w:placeholder>
      </w:sdtPr>
      <w:sdtContent>
        <w:p w:rsidR="00665D69" w:rsidRDefault="00665D6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5D1EB6E3E1A24F5D99EB4EE2CC9C2394"/>
        </w:placeholder>
      </w:sdtPr>
      <w:sdtEndPr/>
      <w:sdtContent>
        <w:p w:rsidR="00665D69" w:rsidRDefault="00665D69" w:rsidP="00665D69">
          <w:pPr>
            <w:pStyle w:val="NormalWeb"/>
            <w:spacing w:before="0" w:beforeAutospacing="0" w:after="0" w:afterAutospacing="0"/>
            <w:jc w:val="both"/>
            <w:divId w:val="2055228556"/>
            <w:rPr>
              <w:rFonts w:eastAsia="Times New Roman"/>
              <w:bCs/>
            </w:rPr>
          </w:pPr>
        </w:p>
        <w:p w:rsidR="00665D69" w:rsidRPr="00D70925" w:rsidRDefault="00665D69" w:rsidP="00665D6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665D69">
            <w:rPr>
              <w:rFonts w:cs="Times New Roman"/>
              <w:szCs w:val="24"/>
            </w:rPr>
            <w:t>H.B. 808 amends current law relating to the consideration of certain student differentials based on sex under the public school accountability system.</w:t>
          </w:r>
        </w:p>
      </w:sdtContent>
    </w:sdt>
    <w:p w:rsidR="00665D69" w:rsidRPr="00622A45" w:rsidRDefault="00665D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665D69" w:rsidRPr="005C2A78" w:rsidRDefault="00665D6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CFCE366842D4D83B25A4CBA37EA57D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65D69" w:rsidRPr="006529C4" w:rsidRDefault="00665D6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65D69" w:rsidRPr="006529C4" w:rsidRDefault="00665D6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65D69" w:rsidRPr="006529C4" w:rsidRDefault="00665D6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65D69" w:rsidRPr="005C2A78" w:rsidRDefault="00665D6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DB8B9F1E3644BB4AC03A8D5319B29F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65D69" w:rsidRPr="005C2A78" w:rsidRDefault="00665D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65D69" w:rsidRDefault="00665D69" w:rsidP="00D707B2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</w:t>
      </w:r>
      <w:r w:rsidRPr="00622A45">
        <w:rPr>
          <w:rFonts w:eastAsia="Times New Roman" w:cs="Times New Roman"/>
          <w:szCs w:val="24"/>
        </w:rPr>
        <w:t>ection 39.053(c), Education Code, as amended by Chapters 807 (H.B. 22), 842 (H.B. 2223), and 1088 (H.B. 3593), Acts of the 85th Legislature, Regular Session, 2017, as follows:</w:t>
      </w:r>
      <w:r>
        <w:rPr>
          <w:rFonts w:eastAsia="Times New Roman" w:cs="Times New Roman"/>
          <w:szCs w:val="24"/>
        </w:rPr>
        <w:t xml:space="preserve"> </w:t>
      </w:r>
    </w:p>
    <w:p w:rsidR="00665D69" w:rsidRDefault="00665D69" w:rsidP="00D707B2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s</w:t>
      </w:r>
      <w:r w:rsidRPr="00622A45">
        <w:rPr>
          <w:rFonts w:eastAsia="Times New Roman" w:cs="Times New Roman"/>
          <w:szCs w:val="24"/>
        </w:rPr>
        <w:t xml:space="preserve">chool districts and campuses </w:t>
      </w:r>
      <w:r>
        <w:rPr>
          <w:rFonts w:eastAsia="Times New Roman" w:cs="Times New Roman"/>
          <w:szCs w:val="24"/>
        </w:rPr>
        <w:t>to</w:t>
      </w:r>
      <w:r w:rsidRPr="00622A45">
        <w:rPr>
          <w:rFonts w:eastAsia="Times New Roman" w:cs="Times New Roman"/>
          <w:szCs w:val="24"/>
        </w:rPr>
        <w:t xml:space="preserve"> be evaluated based on three domains of indicators of achievement adopted under this section that include:</w:t>
      </w:r>
      <w:r>
        <w:rPr>
          <w:rFonts w:eastAsia="Times New Roman" w:cs="Times New Roman"/>
          <w:szCs w:val="24"/>
        </w:rPr>
        <w:t xml:space="preserve"> </w:t>
      </w:r>
    </w:p>
    <w:p w:rsidR="00665D69" w:rsidRDefault="00665D69" w:rsidP="00D707B2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622A45">
        <w:rPr>
          <w:rFonts w:eastAsia="Times New Roman" w:cs="Times New Roman"/>
          <w:szCs w:val="24"/>
        </w:rPr>
        <w:t>in the student achievement domain, indicators of student achievement that must include:</w:t>
      </w:r>
      <w:r>
        <w:rPr>
          <w:rFonts w:eastAsia="Times New Roman" w:cs="Times New Roman"/>
          <w:szCs w:val="24"/>
        </w:rPr>
        <w:t xml:space="preserve"> </w:t>
      </w:r>
    </w:p>
    <w:p w:rsidR="00665D69" w:rsidRDefault="00665D69" w:rsidP="00D707B2">
      <w:pPr>
        <w:spacing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makes no changes to this paragraph; </w:t>
      </w:r>
    </w:p>
    <w:p w:rsidR="00665D69" w:rsidRDefault="00665D69" w:rsidP="00D707B2">
      <w:pPr>
        <w:spacing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622A45">
        <w:rPr>
          <w:rFonts w:eastAsia="Times New Roman" w:cs="Times New Roman"/>
          <w:szCs w:val="24"/>
        </w:rPr>
        <w:t>for evaluating the performance of high school campuses and districts that include high school campuses, indicators that account for:</w:t>
      </w:r>
      <w:r>
        <w:rPr>
          <w:rFonts w:eastAsia="Times New Roman" w:cs="Times New Roman"/>
          <w:szCs w:val="24"/>
        </w:rPr>
        <w:t xml:space="preserve"> </w:t>
      </w:r>
    </w:p>
    <w:p w:rsidR="00665D69" w:rsidRDefault="00665D69" w:rsidP="00D707B2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(i)-(ix) makes no changes to these subparagraphs; </w:t>
      </w:r>
    </w:p>
    <w:p w:rsidR="00665D69" w:rsidRDefault="00665D69" w:rsidP="00D707B2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(x) makes a nonsubstantive change; </w:t>
      </w:r>
    </w:p>
    <w:p w:rsidR="00665D69" w:rsidRDefault="00665D69" w:rsidP="00D707B2">
      <w:pPr>
        <w:spacing w:line="240" w:lineRule="auto"/>
        <w:ind w:left="288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(xi) students, rather than </w:t>
      </w:r>
      <w:r w:rsidRPr="00622A45">
        <w:rPr>
          <w:rFonts w:eastAsia="Times New Roman" w:cs="Times New Roman"/>
          <w:szCs w:val="24"/>
        </w:rPr>
        <w:t>the percentage of students</w:t>
      </w:r>
      <w:r>
        <w:rPr>
          <w:rFonts w:eastAsia="Times New Roman" w:cs="Times New Roman"/>
          <w:szCs w:val="24"/>
        </w:rPr>
        <w:t xml:space="preserve">, </w:t>
      </w:r>
      <w:r w:rsidRPr="00622A45">
        <w:rPr>
          <w:rFonts w:eastAsia="Times New Roman" w:cs="Times New Roman"/>
          <w:szCs w:val="24"/>
        </w:rPr>
        <w:t>who successfully completed a practicum or internship approved by the State Board of Education; and</w:t>
      </w:r>
      <w:r>
        <w:rPr>
          <w:rFonts w:eastAsia="Times New Roman" w:cs="Times New Roman"/>
          <w:szCs w:val="24"/>
          <w:u w:val="single"/>
        </w:rPr>
        <w:t xml:space="preserve"> </w:t>
      </w:r>
    </w:p>
    <w:p w:rsidR="00665D69" w:rsidRDefault="00665D69" w:rsidP="00D707B2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 w:rsidRPr="00622A45">
        <w:rPr>
          <w:rFonts w:eastAsia="Times New Roman" w:cs="Times New Roman"/>
          <w:szCs w:val="24"/>
        </w:rPr>
        <w:t xml:space="preserve">(xii) </w:t>
      </w:r>
      <w:r>
        <w:rPr>
          <w:rFonts w:eastAsia="Times New Roman" w:cs="Times New Roman"/>
          <w:szCs w:val="24"/>
        </w:rPr>
        <w:t xml:space="preserve">creates this subparagraph from existing text and </w:t>
      </w:r>
      <w:r w:rsidRPr="00622A45">
        <w:rPr>
          <w:rFonts w:eastAsia="Times New Roman" w:cs="Times New Roman"/>
          <w:szCs w:val="24"/>
        </w:rPr>
        <w:t>makes a nonsubstantive change</w:t>
      </w:r>
      <w:r>
        <w:rPr>
          <w:rFonts w:eastAsia="Times New Roman" w:cs="Times New Roman"/>
          <w:szCs w:val="24"/>
        </w:rPr>
        <w:t xml:space="preserve">. </w:t>
      </w:r>
    </w:p>
    <w:p w:rsidR="00665D69" w:rsidRDefault="00665D69" w:rsidP="00D707B2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makes no changes to this subdivision; </w:t>
      </w:r>
    </w:p>
    <w:p w:rsidR="00665D69" w:rsidRDefault="00665D69" w:rsidP="00D707B2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622A45">
        <w:rPr>
          <w:rFonts w:eastAsia="Times New Roman" w:cs="Times New Roman"/>
          <w:szCs w:val="24"/>
        </w:rPr>
        <w:t>in the closing the gaps domain, the use of disaggregated data to demonstrate the differentials among students:</w:t>
      </w:r>
      <w:r>
        <w:rPr>
          <w:rFonts w:eastAsia="Times New Roman" w:cs="Times New Roman"/>
          <w:szCs w:val="24"/>
        </w:rPr>
        <w:t xml:space="preserve"> </w:t>
      </w:r>
    </w:p>
    <w:p w:rsidR="00665D69" w:rsidRDefault="00665D69" w:rsidP="00D707B2">
      <w:pPr>
        <w:spacing w:line="240" w:lineRule="auto"/>
        <w:ind w:firstLine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622A45">
        <w:rPr>
          <w:rFonts w:eastAsia="Times New Roman" w:cs="Times New Roman"/>
          <w:szCs w:val="24"/>
        </w:rPr>
        <w:t>from different:</w:t>
      </w:r>
      <w:r>
        <w:rPr>
          <w:rFonts w:eastAsia="Times New Roman" w:cs="Times New Roman"/>
          <w:szCs w:val="24"/>
        </w:rPr>
        <w:t xml:space="preserve"> </w:t>
      </w:r>
    </w:p>
    <w:p w:rsidR="00665D69" w:rsidRDefault="00665D69" w:rsidP="00D707B2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 w:rsidRPr="00622A45">
        <w:rPr>
          <w:rFonts w:eastAsia="Times New Roman" w:cs="Times New Roman"/>
          <w:szCs w:val="24"/>
        </w:rPr>
        <w:t>(i) racial and ethnic groups, disaggregated by sex, including African American and Hispanic students; and</w:t>
      </w:r>
    </w:p>
    <w:p w:rsidR="00665D69" w:rsidRDefault="00665D69" w:rsidP="00D707B2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creates this subparagraph from existing text and makes a nonsubstantive change; </w:t>
      </w:r>
    </w:p>
    <w:p w:rsidR="00665D69" w:rsidRDefault="00665D69" w:rsidP="00D707B2">
      <w:pPr>
        <w:spacing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622A45">
        <w:rPr>
          <w:rFonts w:eastAsia="Times New Roman" w:cs="Times New Roman"/>
          <w:szCs w:val="24"/>
        </w:rPr>
        <w:t>based on other relevant factors not described by Paragraph (A), including:</w:t>
      </w:r>
      <w:r>
        <w:rPr>
          <w:rFonts w:eastAsia="Times New Roman" w:cs="Times New Roman"/>
          <w:szCs w:val="24"/>
        </w:rPr>
        <w:t xml:space="preserve"> </w:t>
      </w:r>
    </w:p>
    <w:p w:rsidR="00665D69" w:rsidRPr="005C2A78" w:rsidRDefault="00665D69" w:rsidP="00B72330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</w:t>
      </w:r>
      <w:r>
        <w:rPr>
          <w:rFonts w:eastAsia="Times New Roman" w:cs="Times New Roman"/>
          <w:szCs w:val="24"/>
        </w:rPr>
        <w:softHyphen/>
        <w:t>-(iii) Redesignates Paragraphs (A), (B), and (C) as Subparagraphs (i), (ii), and (iii).</w:t>
      </w:r>
    </w:p>
    <w:p w:rsidR="00665D69" w:rsidRDefault="00665D69" w:rsidP="00D707B2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622A45">
        <w:rPr>
          <w:rFonts w:eastAsia="Times New Roman" w:cs="Times New Roman"/>
          <w:szCs w:val="24"/>
        </w:rPr>
        <w:t>Section 39.053, Education Code, by adding Subsection (i-1) as follows:</w:t>
      </w:r>
      <w:r>
        <w:rPr>
          <w:rFonts w:eastAsia="Times New Roman" w:cs="Times New Roman"/>
          <w:szCs w:val="24"/>
        </w:rPr>
        <w:t xml:space="preserve"> </w:t>
      </w:r>
    </w:p>
    <w:p w:rsidR="00665D69" w:rsidRPr="00622A45" w:rsidRDefault="00665D69" w:rsidP="00D707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(i-1) </w:t>
      </w:r>
      <w:r w:rsidRPr="00622A45">
        <w:rPr>
          <w:rFonts w:eastAsia="Times New Roman" w:cs="Times New Roman"/>
          <w:szCs w:val="24"/>
        </w:rPr>
        <w:t xml:space="preserve">Prohibits information reported under </w:t>
      </w:r>
      <w:r>
        <w:rPr>
          <w:rFonts w:eastAsia="Times New Roman" w:cs="Times New Roman"/>
          <w:szCs w:val="24"/>
        </w:rPr>
        <w:t>Subsection (c)(3)(A)(i)</w:t>
      </w:r>
      <w:r w:rsidRPr="00622A4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regarding sex </w:t>
      </w:r>
      <w:r w:rsidRPr="00622A45">
        <w:rPr>
          <w:rFonts w:eastAsia="Times New Roman" w:cs="Times New Roman"/>
          <w:szCs w:val="24"/>
        </w:rPr>
        <w:t>from being used by the agency for accountability purposes before the accountability ratings assigned f</w:t>
      </w:r>
      <w:r>
        <w:rPr>
          <w:rFonts w:eastAsia="Times New Roman" w:cs="Times New Roman"/>
          <w:szCs w:val="24"/>
        </w:rPr>
        <w:t>or the 2022–2023 school year. Provides that t</w:t>
      </w:r>
      <w:r w:rsidRPr="00622A45">
        <w:rPr>
          <w:rFonts w:eastAsia="Times New Roman" w:cs="Times New Roman"/>
          <w:szCs w:val="24"/>
        </w:rPr>
        <w:t xml:space="preserve">his subsection expires September 1, 2023. </w:t>
      </w:r>
    </w:p>
    <w:p w:rsidR="00665D69" w:rsidRPr="005C2A78" w:rsidRDefault="00665D69" w:rsidP="00D707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65D69" w:rsidRDefault="00665D69" w:rsidP="00D707B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Provides that this Act applies beginning with the 2019–2020 school year. </w:t>
      </w:r>
    </w:p>
    <w:p w:rsidR="00665D69" w:rsidRDefault="00665D69" w:rsidP="00D707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65D69" w:rsidRDefault="00665D69" w:rsidP="00D707B2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</w:t>
      </w:r>
      <w:r w:rsidRPr="00622A4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Provides that this </w:t>
      </w:r>
      <w:r w:rsidRPr="00622A45">
        <w:rPr>
          <w:rFonts w:eastAsia="Times New Roman" w:cs="Times New Roman"/>
          <w:szCs w:val="24"/>
        </w:rPr>
        <w:t>Act</w:t>
      </w:r>
      <w:r>
        <w:rPr>
          <w:rFonts w:eastAsia="Times New Roman" w:cs="Times New Roman"/>
          <w:szCs w:val="24"/>
        </w:rPr>
        <w:t>,</w:t>
      </w:r>
      <w:r w:rsidRPr="00622A4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 w:rsidRPr="00622A45">
        <w:rPr>
          <w:rFonts w:eastAsia="Times New Roman" w:cs="Times New Roman"/>
          <w:szCs w:val="24"/>
        </w:rPr>
        <w:t>o the extent of any conflict</w:t>
      </w:r>
      <w:r>
        <w:rPr>
          <w:rFonts w:eastAsia="Times New Roman" w:cs="Times New Roman"/>
          <w:szCs w:val="24"/>
        </w:rPr>
        <w:t xml:space="preserve">, </w:t>
      </w:r>
      <w:r w:rsidRPr="00622A45">
        <w:rPr>
          <w:rFonts w:eastAsia="Times New Roman" w:cs="Times New Roman"/>
          <w:szCs w:val="24"/>
        </w:rPr>
        <w:t>prevails over another Act of the 86th Legislature, Regular Session, 2019, relating to nonsubstantive additions to and corrections in enacted codes.</w:t>
      </w:r>
      <w:r>
        <w:rPr>
          <w:rFonts w:eastAsia="Times New Roman" w:cs="Times New Roman"/>
          <w:szCs w:val="24"/>
        </w:rPr>
        <w:t xml:space="preserve"> </w:t>
      </w:r>
    </w:p>
    <w:p w:rsidR="00665D69" w:rsidRPr="00622A45" w:rsidRDefault="00665D69" w:rsidP="00D707B2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upon passage or September 1, 2019. </w:t>
      </w:r>
    </w:p>
    <w:p w:rsidR="00665D69" w:rsidRPr="00C8671F" w:rsidRDefault="00665D69" w:rsidP="00D707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665D6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5D" w:rsidRDefault="006A625D" w:rsidP="000F1DF9">
      <w:pPr>
        <w:spacing w:after="0" w:line="240" w:lineRule="auto"/>
      </w:pPr>
      <w:r>
        <w:separator/>
      </w:r>
    </w:p>
  </w:endnote>
  <w:endnote w:type="continuationSeparator" w:id="0">
    <w:p w:rsidR="006A625D" w:rsidRDefault="006A625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69" w:rsidRDefault="00665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A625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65D69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65D69">
                <w:rPr>
                  <w:sz w:val="20"/>
                  <w:szCs w:val="20"/>
                </w:rPr>
                <w:t>H.B. 808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65D6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A625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65D6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65D69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69" w:rsidRDefault="006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5D" w:rsidRDefault="006A625D" w:rsidP="000F1DF9">
      <w:pPr>
        <w:spacing w:after="0" w:line="240" w:lineRule="auto"/>
      </w:pPr>
      <w:r>
        <w:separator/>
      </w:r>
    </w:p>
  </w:footnote>
  <w:footnote w:type="continuationSeparator" w:id="0">
    <w:p w:rsidR="006A625D" w:rsidRDefault="006A625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69" w:rsidRDefault="00665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69" w:rsidRDefault="00665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69" w:rsidRDefault="00665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65D69"/>
    <w:rsid w:val="006A625D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0881"/>
  <w15:docId w15:val="{199D0080-D655-4F98-8719-71BAB829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D6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47D9C" w:rsidP="00E47D9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CF94503405043CFBCFC72BE339E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036F-E5B3-4EFE-A9CB-40835E9DFBF1}"/>
      </w:docPartPr>
      <w:docPartBody>
        <w:p w:rsidR="00000000" w:rsidRDefault="002A0AAD"/>
      </w:docPartBody>
    </w:docPart>
    <w:docPart>
      <w:docPartPr>
        <w:name w:val="3D0025B08CCA43B69746442541CB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C373-466E-422E-8585-2BB1628ACF99}"/>
      </w:docPartPr>
      <w:docPartBody>
        <w:p w:rsidR="00000000" w:rsidRDefault="002A0AAD"/>
      </w:docPartBody>
    </w:docPart>
    <w:docPart>
      <w:docPartPr>
        <w:name w:val="6344543045CF4C2BA31CED1E8F17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067B-212B-4C57-9030-8A1CCD161F38}"/>
      </w:docPartPr>
      <w:docPartBody>
        <w:p w:rsidR="00000000" w:rsidRDefault="002A0AAD"/>
      </w:docPartBody>
    </w:docPart>
    <w:docPart>
      <w:docPartPr>
        <w:name w:val="3744A1AA32074C0091EEB62AD225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5145-1597-49CB-95F5-9FEB296408DF}"/>
      </w:docPartPr>
      <w:docPartBody>
        <w:p w:rsidR="00000000" w:rsidRDefault="002A0AAD"/>
      </w:docPartBody>
    </w:docPart>
    <w:docPart>
      <w:docPartPr>
        <w:name w:val="DCD5E8CD51F44C719A23FA802893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0E39-383B-4B99-BC25-D3704B3037A5}"/>
      </w:docPartPr>
      <w:docPartBody>
        <w:p w:rsidR="00000000" w:rsidRDefault="002A0AAD"/>
      </w:docPartBody>
    </w:docPart>
    <w:docPart>
      <w:docPartPr>
        <w:name w:val="47DC5F6FF338444D9024F90CAE97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34CD-DE0B-47FF-83F9-647B157CFEC9}"/>
      </w:docPartPr>
      <w:docPartBody>
        <w:p w:rsidR="00000000" w:rsidRDefault="002A0AAD"/>
      </w:docPartBody>
    </w:docPart>
    <w:docPart>
      <w:docPartPr>
        <w:name w:val="FB0D64108DC4426F902643010762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3972-A675-4EA8-84E8-C23949D5B88D}"/>
      </w:docPartPr>
      <w:docPartBody>
        <w:p w:rsidR="00000000" w:rsidRDefault="002A0AAD"/>
      </w:docPartBody>
    </w:docPart>
    <w:docPart>
      <w:docPartPr>
        <w:name w:val="FD237FF49F1D40A493E329A2C32B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3521-21A0-40C4-9DF9-B640AAC838D6}"/>
      </w:docPartPr>
      <w:docPartBody>
        <w:p w:rsidR="00000000" w:rsidRDefault="002A0AAD"/>
      </w:docPartBody>
    </w:docPart>
    <w:docPart>
      <w:docPartPr>
        <w:name w:val="B0BF25E58D464942870703A4C71B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FFB9-3068-4208-9E53-54CFCF318248}"/>
      </w:docPartPr>
      <w:docPartBody>
        <w:p w:rsidR="00000000" w:rsidRDefault="00E47D9C" w:rsidP="00E47D9C">
          <w:pPr>
            <w:pStyle w:val="B0BF25E58D464942870703A4C71BB0A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FAFA51202E84A2386589AF02460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F5F4-8A35-4D11-901F-D0C20D7C54DC}"/>
      </w:docPartPr>
      <w:docPartBody>
        <w:p w:rsidR="00000000" w:rsidRDefault="002A0AAD"/>
      </w:docPartBody>
    </w:docPart>
    <w:docPart>
      <w:docPartPr>
        <w:name w:val="405DD77C14F648DBB3D70C180073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9812-2AE8-4B1D-89F1-21F9AC54856F}"/>
      </w:docPartPr>
      <w:docPartBody>
        <w:p w:rsidR="00000000" w:rsidRDefault="002A0AAD"/>
      </w:docPartBody>
    </w:docPart>
    <w:docPart>
      <w:docPartPr>
        <w:name w:val="5D1EB6E3E1A24F5D99EB4EE2CC9C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E729-3E00-4A77-B7BF-A9B64EB22451}"/>
      </w:docPartPr>
      <w:docPartBody>
        <w:p w:rsidR="00000000" w:rsidRDefault="00E47D9C" w:rsidP="00E47D9C">
          <w:pPr>
            <w:pStyle w:val="5D1EB6E3E1A24F5D99EB4EE2CC9C239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CFCE366842D4D83B25A4CBA37EA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D2EE-8CCA-4A14-AFD6-0E138EE440D2}"/>
      </w:docPartPr>
      <w:docPartBody>
        <w:p w:rsidR="00000000" w:rsidRDefault="002A0AAD"/>
      </w:docPartBody>
    </w:docPart>
    <w:docPart>
      <w:docPartPr>
        <w:name w:val="ADB8B9F1E3644BB4AC03A8D5319B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D758-2ADE-49DE-933D-D312CC7C56BD}"/>
      </w:docPartPr>
      <w:docPartBody>
        <w:p w:rsidR="00000000" w:rsidRDefault="002A0A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0AAD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47D9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D9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47D9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47D9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47D9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0BF25E58D464942870703A4C71BB0AE">
    <w:name w:val="B0BF25E58D464942870703A4C71BB0AE"/>
    <w:rsid w:val="00E47D9C"/>
    <w:pPr>
      <w:spacing w:after="160" w:line="259" w:lineRule="auto"/>
    </w:pPr>
  </w:style>
  <w:style w:type="paragraph" w:customStyle="1" w:styleId="5D1EB6E3E1A24F5D99EB4EE2CC9C2394">
    <w:name w:val="5D1EB6E3E1A24F5D99EB4EE2CC9C2394"/>
    <w:rsid w:val="00E47D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95CB117-6B24-4BE4-81D4-068602C5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407</Words>
  <Characters>2325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2019-05-18T21:18:00Z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