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13355" w:rsidTr="00345119">
        <w:tc>
          <w:tcPr>
            <w:tcW w:w="9576" w:type="dxa"/>
            <w:noWrap/>
          </w:tcPr>
          <w:p w:rsidR="008423E4" w:rsidRPr="0022177D" w:rsidRDefault="00A534F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534F6" w:rsidP="008423E4">
      <w:pPr>
        <w:jc w:val="center"/>
      </w:pPr>
    </w:p>
    <w:p w:rsidR="008423E4" w:rsidRPr="00B31F0E" w:rsidRDefault="00A534F6" w:rsidP="008423E4"/>
    <w:p w:rsidR="008423E4" w:rsidRPr="00742794" w:rsidRDefault="00A534F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13355" w:rsidTr="00345119">
        <w:tc>
          <w:tcPr>
            <w:tcW w:w="9576" w:type="dxa"/>
          </w:tcPr>
          <w:p w:rsidR="008423E4" w:rsidRPr="00861995" w:rsidRDefault="00A534F6" w:rsidP="007600B2">
            <w:pPr>
              <w:jc w:val="right"/>
            </w:pPr>
            <w:r>
              <w:t>C.S.H.B. 885</w:t>
            </w:r>
          </w:p>
        </w:tc>
      </w:tr>
      <w:tr w:rsidR="00513355" w:rsidTr="00345119">
        <w:tc>
          <w:tcPr>
            <w:tcW w:w="9576" w:type="dxa"/>
          </w:tcPr>
          <w:p w:rsidR="008423E4" w:rsidRPr="00861995" w:rsidRDefault="00A534F6" w:rsidP="00BC5753">
            <w:pPr>
              <w:jc w:val="right"/>
            </w:pPr>
            <w:r>
              <w:t xml:space="preserve">By: </w:t>
            </w:r>
            <w:r>
              <w:t>Raney</w:t>
            </w:r>
          </w:p>
        </w:tc>
      </w:tr>
      <w:tr w:rsidR="00513355" w:rsidTr="00345119">
        <w:tc>
          <w:tcPr>
            <w:tcW w:w="9576" w:type="dxa"/>
          </w:tcPr>
          <w:p w:rsidR="008423E4" w:rsidRPr="00861995" w:rsidRDefault="00A534F6" w:rsidP="007600B2">
            <w:pPr>
              <w:jc w:val="right"/>
            </w:pPr>
            <w:r>
              <w:t>International Relations &amp; Economic Development</w:t>
            </w:r>
          </w:p>
        </w:tc>
      </w:tr>
      <w:tr w:rsidR="00513355" w:rsidTr="00345119">
        <w:tc>
          <w:tcPr>
            <w:tcW w:w="9576" w:type="dxa"/>
          </w:tcPr>
          <w:p w:rsidR="008423E4" w:rsidRDefault="00A534F6" w:rsidP="007600B2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534F6" w:rsidP="008423E4">
      <w:pPr>
        <w:tabs>
          <w:tab w:val="right" w:pos="9360"/>
        </w:tabs>
      </w:pPr>
    </w:p>
    <w:p w:rsidR="008423E4" w:rsidRDefault="00A534F6" w:rsidP="008423E4"/>
    <w:p w:rsidR="008423E4" w:rsidRDefault="00A534F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13355" w:rsidTr="00345119">
        <w:tc>
          <w:tcPr>
            <w:tcW w:w="9576" w:type="dxa"/>
          </w:tcPr>
          <w:p w:rsidR="008423E4" w:rsidRPr="00A8133F" w:rsidRDefault="00A534F6" w:rsidP="008136F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534F6" w:rsidP="008136F3"/>
          <w:p w:rsidR="008423E4" w:rsidRDefault="00A534F6" w:rsidP="008136F3">
            <w:pPr>
              <w:pStyle w:val="Header"/>
              <w:jc w:val="both"/>
            </w:pPr>
            <w:r>
              <w:t>Concerns have been raised regarding the practice of paying workers</w:t>
            </w:r>
            <w:r>
              <w:t xml:space="preserve"> with disabilities </w:t>
            </w:r>
            <w:r>
              <w:t xml:space="preserve">wages that are </w:t>
            </w:r>
            <w:r>
              <w:t xml:space="preserve">less than the federal minimum wage through </w:t>
            </w:r>
            <w:r>
              <w:t xml:space="preserve">a </w:t>
            </w:r>
            <w:r>
              <w:t>taxpayer-funded program</w:t>
            </w:r>
            <w:r>
              <w:t xml:space="preserve">. </w:t>
            </w:r>
            <w:r>
              <w:t>C.S.</w:t>
            </w:r>
            <w:r>
              <w:t xml:space="preserve">H.B. 885 seeks to address these concerns by </w:t>
            </w:r>
            <w:r>
              <w:t xml:space="preserve">providing for the transition to a requirement for </w:t>
            </w:r>
            <w:r w:rsidRPr="00DC542D">
              <w:t>community rehabilitation programs participating in the purchasing from people with disab</w:t>
            </w:r>
            <w:r w:rsidRPr="00DC542D">
              <w:t>ilities program</w:t>
            </w:r>
            <w:r>
              <w:t xml:space="preserve"> to pay their workers the federal minimum wage</w:t>
            </w:r>
            <w:r>
              <w:t>.</w:t>
            </w:r>
          </w:p>
          <w:p w:rsidR="008423E4" w:rsidRPr="00E26B13" w:rsidRDefault="00A534F6" w:rsidP="008136F3">
            <w:pPr>
              <w:rPr>
                <w:b/>
              </w:rPr>
            </w:pPr>
          </w:p>
        </w:tc>
      </w:tr>
      <w:tr w:rsidR="00513355" w:rsidTr="00345119">
        <w:tc>
          <w:tcPr>
            <w:tcW w:w="9576" w:type="dxa"/>
          </w:tcPr>
          <w:p w:rsidR="0017725B" w:rsidRDefault="00A534F6" w:rsidP="008136F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534F6" w:rsidP="008136F3">
            <w:pPr>
              <w:rPr>
                <w:b/>
                <w:u w:val="single"/>
              </w:rPr>
            </w:pPr>
          </w:p>
          <w:p w:rsidR="003805B2" w:rsidRPr="003805B2" w:rsidRDefault="00A534F6" w:rsidP="008136F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</w:t>
            </w:r>
            <w:r>
              <w:t>enses, or change the eligibility of a person for community supervision, parole, or mandatory supervision.</w:t>
            </w:r>
          </w:p>
          <w:p w:rsidR="0017725B" w:rsidRPr="0017725B" w:rsidRDefault="00A534F6" w:rsidP="008136F3">
            <w:pPr>
              <w:rPr>
                <w:b/>
                <w:u w:val="single"/>
              </w:rPr>
            </w:pPr>
          </w:p>
        </w:tc>
      </w:tr>
      <w:tr w:rsidR="00513355" w:rsidTr="00345119">
        <w:tc>
          <w:tcPr>
            <w:tcW w:w="9576" w:type="dxa"/>
          </w:tcPr>
          <w:p w:rsidR="008423E4" w:rsidRPr="00A8133F" w:rsidRDefault="00A534F6" w:rsidP="008136F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534F6" w:rsidP="008136F3"/>
          <w:p w:rsidR="003805B2" w:rsidRDefault="00A534F6" w:rsidP="008136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</w:t>
            </w:r>
            <w:r>
              <w:t xml:space="preserve"> department, agency, or institution.</w:t>
            </w:r>
          </w:p>
          <w:p w:rsidR="008423E4" w:rsidRPr="00E21FDC" w:rsidRDefault="00A534F6" w:rsidP="008136F3">
            <w:pPr>
              <w:rPr>
                <w:b/>
              </w:rPr>
            </w:pPr>
          </w:p>
        </w:tc>
      </w:tr>
      <w:tr w:rsidR="00513355" w:rsidTr="00345119">
        <w:tc>
          <w:tcPr>
            <w:tcW w:w="9576" w:type="dxa"/>
          </w:tcPr>
          <w:p w:rsidR="008423E4" w:rsidRPr="00A8133F" w:rsidRDefault="00A534F6" w:rsidP="008136F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534F6" w:rsidP="008136F3"/>
          <w:p w:rsidR="0046003A" w:rsidRDefault="00A534F6" w:rsidP="008136F3">
            <w:pPr>
              <w:pStyle w:val="Header"/>
              <w:jc w:val="both"/>
            </w:pPr>
            <w:r>
              <w:t>C.S.</w:t>
            </w:r>
            <w:r>
              <w:t xml:space="preserve">H.B. 885 amends the Human Resources Code to </w:t>
            </w:r>
            <w:r>
              <w:t>establish</w:t>
            </w:r>
            <w:r>
              <w:t xml:space="preserve"> provisions relating to a plan to increase </w:t>
            </w:r>
            <w:r>
              <w:t>to minimum the</w:t>
            </w:r>
            <w:r>
              <w:t xml:space="preserve"> wage of certain workers </w:t>
            </w:r>
            <w:r>
              <w:t>with disabilities employed by a community rehabilitation program</w:t>
            </w:r>
            <w:r>
              <w:t>. T</w:t>
            </w:r>
            <w:r>
              <w:t xml:space="preserve">he bill </w:t>
            </w:r>
            <w:r>
              <w:t>require</w:t>
            </w:r>
            <w:r>
              <w:t>s</w:t>
            </w:r>
            <w:r>
              <w:t xml:space="preserve"> the Texas Workforce Commission (TWC) to </w:t>
            </w:r>
            <w:r w:rsidRPr="00D0119E">
              <w:t xml:space="preserve">assist a community rehabilitation program </w:t>
            </w:r>
            <w:r>
              <w:t xml:space="preserve">that is participating in the purchasing from people with disabilities program and </w:t>
            </w:r>
            <w:r>
              <w:t xml:space="preserve">that </w:t>
            </w:r>
            <w:r>
              <w:t xml:space="preserve">pays workers with disabilities employed by the </w:t>
            </w:r>
            <w:r>
              <w:t xml:space="preserve">rehabilitation </w:t>
            </w:r>
            <w:r>
              <w:t xml:space="preserve">program </w:t>
            </w:r>
            <w:r>
              <w:t>wages that are less than the federal minimum wage</w:t>
            </w:r>
            <w:r w:rsidRPr="00D0119E">
              <w:t xml:space="preserve"> </w:t>
            </w:r>
            <w:r>
              <w:t>in the following ways:</w:t>
            </w:r>
          </w:p>
          <w:p w:rsidR="0046003A" w:rsidRDefault="00A534F6" w:rsidP="008136F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by assisting the rehabilitation program </w:t>
            </w:r>
            <w:r w:rsidRPr="00D0119E">
              <w:t xml:space="preserve">in developing a plan to increase </w:t>
            </w:r>
            <w:r w:rsidRPr="00D0119E">
              <w:t>th</w:t>
            </w:r>
            <w:r>
              <w:t>ose</w:t>
            </w:r>
            <w:r w:rsidRPr="00D0119E">
              <w:t xml:space="preserve"> </w:t>
            </w:r>
            <w:r w:rsidRPr="00D0119E">
              <w:t xml:space="preserve">wages to the federal minimum wage not later than September 1, </w:t>
            </w:r>
            <w:r>
              <w:t>2022</w:t>
            </w:r>
            <w:r>
              <w:t>, for work relating to any products or</w:t>
            </w:r>
            <w:r>
              <w:t xml:space="preserve"> services purchased from the rehabilitation program through the </w:t>
            </w:r>
            <w:r w:rsidRPr="005C4447">
              <w:t xml:space="preserve">purchasing from people with disabilities </w:t>
            </w:r>
            <w:r>
              <w:t>program</w:t>
            </w:r>
            <w:r>
              <w:t>;</w:t>
            </w:r>
          </w:p>
          <w:p w:rsidR="0046003A" w:rsidRDefault="00A534F6" w:rsidP="008136F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by p</w:t>
            </w:r>
            <w:r>
              <w:t xml:space="preserve">roviding information about certified benefits counselors to ensure that </w:t>
            </w:r>
            <w:r>
              <w:t xml:space="preserve">rehabilitation program </w:t>
            </w:r>
            <w:r>
              <w:t xml:space="preserve">workers are informed about work incentives </w:t>
            </w:r>
            <w:r>
              <w:t xml:space="preserve">and the potential impact the increase in wages may have on a worker's eligibility </w:t>
            </w:r>
            <w:r>
              <w:t xml:space="preserve">for any federal or state program and </w:t>
            </w:r>
            <w:r>
              <w:t xml:space="preserve">providing </w:t>
            </w:r>
            <w:r>
              <w:t xml:space="preserve">a referral to </w:t>
            </w:r>
            <w:r>
              <w:t>such a</w:t>
            </w:r>
            <w:r>
              <w:t xml:space="preserve"> counselor to any worker with a disability who requests </w:t>
            </w:r>
            <w:r>
              <w:t>one</w:t>
            </w:r>
            <w:r w:rsidRPr="00D0119E">
              <w:t>.</w:t>
            </w:r>
            <w:r>
              <w:t xml:space="preserve"> </w:t>
            </w:r>
          </w:p>
          <w:p w:rsidR="008410C7" w:rsidRDefault="00A534F6" w:rsidP="008136F3">
            <w:pPr>
              <w:pStyle w:val="Header"/>
              <w:jc w:val="both"/>
            </w:pPr>
          </w:p>
          <w:p w:rsidR="00C23D37" w:rsidRDefault="00A534F6" w:rsidP="008136F3">
            <w:pPr>
              <w:pStyle w:val="Header"/>
              <w:jc w:val="both"/>
            </w:pPr>
            <w:r>
              <w:t>C.S.H.B. 885</w:t>
            </w:r>
            <w:r>
              <w:t xml:space="preserve"> requires each community rehabil</w:t>
            </w:r>
            <w:r>
              <w:t xml:space="preserve">itation </w:t>
            </w:r>
            <w:r>
              <w:t>program</w:t>
            </w:r>
            <w:r w:rsidRPr="00D0119E">
              <w:t xml:space="preserve"> </w:t>
            </w:r>
            <w:r>
              <w:t xml:space="preserve">to </w:t>
            </w:r>
            <w:r w:rsidRPr="00D0119E">
              <w:t>ensure</w:t>
            </w:r>
            <w:r>
              <w:t xml:space="preserve">, </w:t>
            </w:r>
            <w:r w:rsidRPr="00D0119E">
              <w:t>to the maximum extent possible</w:t>
            </w:r>
            <w:r>
              <w:t>,</w:t>
            </w:r>
            <w:r w:rsidRPr="00D0119E">
              <w:t xml:space="preserve"> that each worker with a disability remains employed by the </w:t>
            </w:r>
            <w:r>
              <w:t xml:space="preserve">rehabilitation </w:t>
            </w:r>
            <w:r w:rsidRPr="00D0119E">
              <w:t xml:space="preserve">program after </w:t>
            </w:r>
            <w:r w:rsidRPr="00D0119E">
              <w:t>th</w:t>
            </w:r>
            <w:r>
              <w:t>at</w:t>
            </w:r>
            <w:r w:rsidRPr="00D0119E">
              <w:t xml:space="preserve"> </w:t>
            </w:r>
            <w:r w:rsidRPr="00D0119E">
              <w:t>program increases the wages paid to those employees in accordance with the plan</w:t>
            </w:r>
            <w:r>
              <w:t xml:space="preserve">. The bill requires a </w:t>
            </w:r>
            <w:r>
              <w:t>rehabilitation program</w:t>
            </w:r>
            <w:r>
              <w:t xml:space="preserve"> that</w:t>
            </w:r>
            <w:r w:rsidRPr="00D0119E">
              <w:t xml:space="preserve"> is unable to employ all workers with a disability after </w:t>
            </w:r>
            <w:r>
              <w:t xml:space="preserve">implementing </w:t>
            </w:r>
            <w:r w:rsidRPr="001B79C4">
              <w:t>the wage increase</w:t>
            </w:r>
            <w:r w:rsidRPr="00D6050C">
              <w:t xml:space="preserve"> required by the bill</w:t>
            </w:r>
            <w:r>
              <w:t xml:space="preserve"> to </w:t>
            </w:r>
            <w:r w:rsidRPr="00D0119E">
              <w:t xml:space="preserve">work with the </w:t>
            </w:r>
            <w:r>
              <w:t>TWC</w:t>
            </w:r>
            <w:r w:rsidRPr="00D0119E">
              <w:t xml:space="preserve"> and any other governmental entity to seek and obtain any job training </w:t>
            </w:r>
            <w:r>
              <w:t xml:space="preserve">and employment services </w:t>
            </w:r>
            <w:r w:rsidRPr="00D0119E">
              <w:t xml:space="preserve">that </w:t>
            </w:r>
            <w:r w:rsidRPr="00D0119E">
              <w:t>may be suitable for those former employees to find other employment that pays at least the federal minimum wage.</w:t>
            </w:r>
            <w:r>
              <w:t xml:space="preserve"> </w:t>
            </w:r>
            <w:r>
              <w:t>The bill authorizes the TWC, in addition to this assistance</w:t>
            </w:r>
            <w:r>
              <w:t xml:space="preserve"> and</w:t>
            </w:r>
            <w:r>
              <w:t xml:space="preserve"> at the worker's request, to assist a worker with a disability </w:t>
            </w:r>
            <w:r>
              <w:t xml:space="preserve">who is </w:t>
            </w:r>
            <w:r>
              <w:t>not retain</w:t>
            </w:r>
            <w:r>
              <w:t xml:space="preserve">ed by </w:t>
            </w:r>
            <w:r>
              <w:t>the</w:t>
            </w:r>
            <w:r>
              <w:t xml:space="preserve"> rehabilitation program to secure employment in a position that pays at least the federal minimum wage. </w:t>
            </w:r>
          </w:p>
          <w:p w:rsidR="00C23D37" w:rsidRDefault="00A534F6" w:rsidP="008136F3">
            <w:pPr>
              <w:pStyle w:val="Header"/>
              <w:jc w:val="both"/>
            </w:pPr>
          </w:p>
          <w:p w:rsidR="004B491C" w:rsidRDefault="00A534F6" w:rsidP="008136F3">
            <w:pPr>
              <w:pStyle w:val="Header"/>
              <w:jc w:val="both"/>
            </w:pPr>
            <w:r>
              <w:t>C.S.H.B. 885</w:t>
            </w:r>
            <w:r>
              <w:t xml:space="preserve"> authorizes the TWC</w:t>
            </w:r>
            <w:r>
              <w:t xml:space="preserve">, on request of a community rehabilitation program, </w:t>
            </w:r>
            <w:r>
              <w:t xml:space="preserve">to extend the period for compliance with the </w:t>
            </w:r>
            <w:r>
              <w:t>bill's wage i</w:t>
            </w:r>
            <w:r>
              <w:t>ncrease requirements</w:t>
            </w:r>
            <w:r>
              <w:t xml:space="preserve"> for not more than 12 months if the rehabilitation </w:t>
            </w:r>
            <w:r>
              <w:t xml:space="preserve">program </w:t>
            </w:r>
            <w:r>
              <w:t xml:space="preserve">meets certain </w:t>
            </w:r>
            <w:r>
              <w:t>criteria</w:t>
            </w:r>
            <w:r>
              <w:t xml:space="preserve">. </w:t>
            </w:r>
            <w:r>
              <w:t xml:space="preserve">The bill requires the TWC to make a decision on a request for an extension not later than May 1, 2022, and </w:t>
            </w:r>
            <w:r>
              <w:t>limits the number of</w:t>
            </w:r>
            <w:r>
              <w:t xml:space="preserve"> extension</w:t>
            </w:r>
            <w:r>
              <w:t>s</w:t>
            </w:r>
            <w:r>
              <w:t xml:space="preserve"> </w:t>
            </w:r>
            <w:r>
              <w:t>per</w:t>
            </w:r>
            <w:r>
              <w:t xml:space="preserve"> rehabilita</w:t>
            </w:r>
            <w:r>
              <w:t>tion program</w:t>
            </w:r>
            <w:r>
              <w:t xml:space="preserve"> to one</w:t>
            </w:r>
            <w:r>
              <w:t>.</w:t>
            </w:r>
            <w:r>
              <w:t xml:space="preserve"> </w:t>
            </w:r>
            <w:r>
              <w:t xml:space="preserve">The bill's </w:t>
            </w:r>
            <w:r>
              <w:t>provisions</w:t>
            </w:r>
            <w:r>
              <w:t xml:space="preserve"> </w:t>
            </w:r>
            <w:r>
              <w:t xml:space="preserve">relating to </w:t>
            </w:r>
            <w:r>
              <w:t xml:space="preserve">a plan to increase the minimum for workers with disabilities employed by the rehabilitation program </w:t>
            </w:r>
            <w:r>
              <w:t>expire</w:t>
            </w:r>
            <w:r>
              <w:t xml:space="preserve"> September 1, </w:t>
            </w:r>
            <w:r>
              <w:t>2023</w:t>
            </w:r>
            <w:r>
              <w:t xml:space="preserve">. </w:t>
            </w:r>
            <w:r>
              <w:t xml:space="preserve"> </w:t>
            </w:r>
          </w:p>
          <w:p w:rsidR="004B491C" w:rsidRDefault="00A534F6" w:rsidP="008136F3">
            <w:pPr>
              <w:pStyle w:val="Header"/>
              <w:jc w:val="both"/>
            </w:pPr>
          </w:p>
          <w:p w:rsidR="00C62B26" w:rsidRDefault="00A534F6" w:rsidP="008136F3">
            <w:pPr>
              <w:pStyle w:val="Header"/>
              <w:jc w:val="both"/>
            </w:pPr>
            <w:r>
              <w:t>C.S.</w:t>
            </w:r>
            <w:r>
              <w:t xml:space="preserve">H.B. 885 </w:t>
            </w:r>
            <w:r>
              <w:t xml:space="preserve">sets out provisions relating to the required minimum wage. The bill </w:t>
            </w:r>
            <w:r>
              <w:t>prohibits</w:t>
            </w:r>
            <w:r>
              <w:t xml:space="preserve"> </w:t>
            </w:r>
            <w:r>
              <w:t xml:space="preserve">a community rehabilitation </w:t>
            </w:r>
            <w:r>
              <w:t xml:space="preserve">program </w:t>
            </w:r>
            <w:r>
              <w:t xml:space="preserve">from participating </w:t>
            </w:r>
            <w:r w:rsidRPr="003805B2">
              <w:t xml:space="preserve">in the </w:t>
            </w:r>
            <w:r>
              <w:t>purchasing from people with disabilities</w:t>
            </w:r>
            <w:r>
              <w:t xml:space="preserve"> program</w:t>
            </w:r>
            <w:r w:rsidRPr="003805B2">
              <w:t xml:space="preserve"> unless each worker with a disability employed by the </w:t>
            </w:r>
            <w:r>
              <w:t xml:space="preserve">rehabilitation </w:t>
            </w:r>
            <w:r w:rsidRPr="003805B2">
              <w:t>program is paid at least the federal minimum wage</w:t>
            </w:r>
            <w:r>
              <w:t xml:space="preserve"> </w:t>
            </w:r>
            <w:r w:rsidRPr="001F6647">
              <w:t xml:space="preserve">for </w:t>
            </w:r>
            <w:r w:rsidRPr="00544106">
              <w:t>any work relating to any products or services</w:t>
            </w:r>
            <w:r>
              <w:t xml:space="preserve"> </w:t>
            </w:r>
            <w:r w:rsidRPr="001F6647">
              <w:t>purchased through the purchasing from people with disabilities program</w:t>
            </w:r>
            <w:r>
              <w:t xml:space="preserve">. The bill authorizes the TWC to exempt </w:t>
            </w:r>
            <w:r w:rsidRPr="001F6647">
              <w:t xml:space="preserve">the rehabilitation program from </w:t>
            </w:r>
            <w:r>
              <w:t xml:space="preserve">this </w:t>
            </w:r>
            <w:r>
              <w:t>wage</w:t>
            </w:r>
            <w:r>
              <w:t xml:space="preserve"> requ</w:t>
            </w:r>
            <w:r>
              <w:t>irement</w:t>
            </w:r>
            <w:r w:rsidRPr="001F6647">
              <w:t xml:space="preserve"> with respect to a worker with a disability if the </w:t>
            </w:r>
            <w:r>
              <w:t>TWC</w:t>
            </w:r>
            <w:r w:rsidRPr="001F6647">
              <w:t xml:space="preserve"> </w:t>
            </w:r>
            <w:r>
              <w:t>makes the following determinations</w:t>
            </w:r>
            <w:r w:rsidRPr="001F6647">
              <w:t>, based on the worker's circumstances</w:t>
            </w:r>
            <w:r>
              <w:t>:</w:t>
            </w:r>
          </w:p>
          <w:p w:rsidR="00C62B26" w:rsidRDefault="00A534F6" w:rsidP="008136F3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1F6647">
              <w:t xml:space="preserve">that requiring the </w:t>
            </w:r>
            <w:r>
              <w:t xml:space="preserve">rehabilitation </w:t>
            </w:r>
            <w:r w:rsidRPr="001F6647">
              <w:t xml:space="preserve">program to pay the worker at the federal minimum wage would result in the program not </w:t>
            </w:r>
            <w:r w:rsidRPr="001F6647">
              <w:t>being able to retain the worker</w:t>
            </w:r>
            <w:r>
              <w:t>;</w:t>
            </w:r>
            <w:r w:rsidRPr="001F6647">
              <w:t xml:space="preserve"> </w:t>
            </w:r>
          </w:p>
          <w:p w:rsidR="00C62B26" w:rsidRDefault="00A534F6" w:rsidP="008136F3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that </w:t>
            </w:r>
            <w:r w:rsidRPr="001F6647">
              <w:t>the worker would not have success obtaining work with a different employer</w:t>
            </w:r>
            <w:r>
              <w:t>;</w:t>
            </w:r>
            <w:r w:rsidRPr="001F6647">
              <w:t xml:space="preserve"> </w:t>
            </w:r>
            <w:r w:rsidRPr="001F6647">
              <w:t>and</w:t>
            </w:r>
          </w:p>
          <w:p w:rsidR="00C62B26" w:rsidRDefault="00A534F6" w:rsidP="008136F3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that</w:t>
            </w:r>
            <w:r w:rsidRPr="001F6647">
              <w:t xml:space="preserve"> the worker would not be able to obtain employment at a higher wage than the </w:t>
            </w:r>
            <w:r>
              <w:t xml:space="preserve">rehabilitation </w:t>
            </w:r>
            <w:r w:rsidRPr="001F6647">
              <w:t>program would be able to pay the worker n</w:t>
            </w:r>
            <w:r w:rsidRPr="001F6647">
              <w:t xml:space="preserve">otwithstanding the requirements of this </w:t>
            </w:r>
            <w:r>
              <w:t>provision</w:t>
            </w:r>
            <w:r>
              <w:t xml:space="preserve">. </w:t>
            </w:r>
          </w:p>
          <w:p w:rsidR="008423E4" w:rsidRDefault="00A534F6" w:rsidP="008136F3">
            <w:pPr>
              <w:pStyle w:val="Header"/>
              <w:jc w:val="both"/>
              <w:rPr>
                <w:b/>
              </w:rPr>
            </w:pPr>
            <w:r>
              <w:t>The bill establishes that t</w:t>
            </w:r>
            <w:r>
              <w:t xml:space="preserve">o the extent of a conflict between </w:t>
            </w:r>
            <w:r>
              <w:t>the</w:t>
            </w:r>
            <w:r>
              <w:t>se</w:t>
            </w:r>
            <w:r>
              <w:t xml:space="preserve"> </w:t>
            </w:r>
            <w:r>
              <w:t>provision</w:t>
            </w:r>
            <w:r>
              <w:t>s</w:t>
            </w:r>
            <w:r>
              <w:t xml:space="preserve"> and the Texas Minimum Wage Act</w:t>
            </w:r>
            <w:r>
              <w:t>, these provisions control</w:t>
            </w:r>
            <w:r>
              <w:t xml:space="preserve">. </w:t>
            </w:r>
            <w:r>
              <w:t>The</w:t>
            </w:r>
            <w:r>
              <w:t>se</w:t>
            </w:r>
            <w:r>
              <w:t xml:space="preserve"> provision</w:t>
            </w:r>
            <w:r>
              <w:t>s</w:t>
            </w:r>
            <w:r>
              <w:t xml:space="preserve"> do not apply to a community rehabilitation program</w:t>
            </w:r>
            <w:r>
              <w:t xml:space="preserve">'s eligibility to participate in the </w:t>
            </w:r>
            <w:r w:rsidRPr="001F6647">
              <w:t>purchasing from people with disabilities program</w:t>
            </w:r>
            <w:r>
              <w:t xml:space="preserve"> before the later of September 1, 2022, or the </w:t>
            </w:r>
            <w:r>
              <w:t xml:space="preserve">expiration </w:t>
            </w:r>
            <w:r>
              <w:t xml:space="preserve">date </w:t>
            </w:r>
            <w:r>
              <w:t xml:space="preserve">of </w:t>
            </w:r>
            <w:r>
              <w:t>an extension granted under the bill's provisions.</w:t>
            </w:r>
            <w:r>
              <w:t xml:space="preserve"> The bill</w:t>
            </w:r>
            <w:r>
              <w:t xml:space="preserve"> sets that applicability </w:t>
            </w:r>
            <w:r>
              <w:t xml:space="preserve">provision </w:t>
            </w:r>
            <w:r>
              <w:t xml:space="preserve">to </w:t>
            </w:r>
            <w:r>
              <w:t xml:space="preserve">expire </w:t>
            </w:r>
            <w:r>
              <w:t>September 1, 2023.</w:t>
            </w:r>
          </w:p>
          <w:p w:rsidR="00610DDE" w:rsidRPr="00835628" w:rsidRDefault="00A534F6" w:rsidP="008136F3">
            <w:pPr>
              <w:pStyle w:val="Header"/>
              <w:jc w:val="both"/>
              <w:rPr>
                <w:b/>
              </w:rPr>
            </w:pPr>
          </w:p>
        </w:tc>
      </w:tr>
      <w:tr w:rsidR="00513355" w:rsidTr="00345119">
        <w:tc>
          <w:tcPr>
            <w:tcW w:w="9576" w:type="dxa"/>
          </w:tcPr>
          <w:p w:rsidR="008423E4" w:rsidRPr="00A8133F" w:rsidRDefault="00A534F6" w:rsidP="008136F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534F6" w:rsidP="008136F3"/>
          <w:p w:rsidR="008423E4" w:rsidRPr="003624F2" w:rsidRDefault="00A534F6" w:rsidP="008136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A534F6" w:rsidP="008136F3">
            <w:pPr>
              <w:rPr>
                <w:b/>
              </w:rPr>
            </w:pPr>
          </w:p>
        </w:tc>
      </w:tr>
      <w:tr w:rsidR="00513355" w:rsidTr="00345119">
        <w:tc>
          <w:tcPr>
            <w:tcW w:w="9576" w:type="dxa"/>
          </w:tcPr>
          <w:p w:rsidR="00BC5753" w:rsidRDefault="00A534F6" w:rsidP="00BC575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936AA" w:rsidRPr="00BC5753" w:rsidRDefault="00A534F6" w:rsidP="00BC5753">
            <w:pPr>
              <w:jc w:val="both"/>
              <w:rPr>
                <w:b/>
                <w:u w:val="single"/>
              </w:rPr>
            </w:pPr>
          </w:p>
        </w:tc>
      </w:tr>
      <w:tr w:rsidR="00513355" w:rsidTr="00345119">
        <w:tc>
          <w:tcPr>
            <w:tcW w:w="9576" w:type="dxa"/>
          </w:tcPr>
          <w:p w:rsidR="00720621" w:rsidRDefault="00A534F6" w:rsidP="00720621">
            <w:pPr>
              <w:jc w:val="both"/>
            </w:pPr>
            <w:r>
              <w:t>While C.S.H.B. 885 may differ from the original in minor or nonsubstantive ways, the following summarizes the substantial differences between the introduced</w:t>
            </w:r>
            <w:r>
              <w:t xml:space="preserve"> and committee substitute versions of the bill.</w:t>
            </w:r>
          </w:p>
          <w:p w:rsidR="00720621" w:rsidRDefault="00A534F6" w:rsidP="00720621">
            <w:pPr>
              <w:jc w:val="both"/>
            </w:pPr>
          </w:p>
          <w:p w:rsidR="00720621" w:rsidRDefault="00A534F6" w:rsidP="00720621">
            <w:pPr>
              <w:jc w:val="both"/>
            </w:pPr>
            <w:r>
              <w:t>The substitute changes the deadline by which a community rehabilitation program must implement the required wage increase from September 1, 2021, to September 1, 2022, and includes provisions authorizing TWC</w:t>
            </w:r>
            <w:r>
              <w:t xml:space="preserve"> to grant an extension of up to 12 months, subject to certain conditions.</w:t>
            </w:r>
          </w:p>
          <w:p w:rsidR="00720621" w:rsidRDefault="00A534F6" w:rsidP="00720621">
            <w:pPr>
              <w:jc w:val="both"/>
            </w:pPr>
          </w:p>
          <w:p w:rsidR="00720621" w:rsidRDefault="00A534F6" w:rsidP="00720621">
            <w:pPr>
              <w:jc w:val="both"/>
            </w:pPr>
            <w:r>
              <w:t xml:space="preserve">The substitute specifies that the wage increase requirement applies to </w:t>
            </w:r>
            <w:r w:rsidRPr="00F936AA">
              <w:t>work relating to products or services purchased through the purchasing from people with disabilities program</w:t>
            </w:r>
            <w:r>
              <w:t xml:space="preserve">. </w:t>
            </w:r>
          </w:p>
          <w:p w:rsidR="00720621" w:rsidRDefault="00A534F6" w:rsidP="00720621">
            <w:pPr>
              <w:jc w:val="both"/>
            </w:pPr>
          </w:p>
          <w:p w:rsidR="00720621" w:rsidRDefault="00A534F6" w:rsidP="00720621">
            <w:pPr>
              <w:jc w:val="both"/>
            </w:pPr>
            <w:r>
              <w:t>The substitute includes the following provisions with regard to workers affected by the bill's requirements:</w:t>
            </w:r>
          </w:p>
          <w:p w:rsidR="00720621" w:rsidRDefault="00A534F6" w:rsidP="00720621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>a requirement for the TWC to provide information about and referrals to certified benefits counselors for workers whose benefits may be affected;</w:t>
            </w:r>
            <w:r>
              <w:t xml:space="preserve"> and</w:t>
            </w:r>
          </w:p>
          <w:p w:rsidR="00720621" w:rsidRDefault="00A534F6" w:rsidP="00720621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>an authorization for the TWC to provide additional placement assistance on request to a worker who is not retained by a rehabilitation program.</w:t>
            </w:r>
          </w:p>
          <w:p w:rsidR="00720621" w:rsidRDefault="00A534F6" w:rsidP="00720621">
            <w:pPr>
              <w:jc w:val="both"/>
            </w:pPr>
            <w:r>
              <w:t>The substitute includes an authorization for the TWC to exempt a rehabilitation program from increasing the</w:t>
            </w:r>
            <w:r>
              <w:t xml:space="preserve"> wages of a particular worker under certain conditions. </w:t>
            </w:r>
          </w:p>
          <w:p w:rsidR="00720621" w:rsidRDefault="00A534F6" w:rsidP="00720621">
            <w:pPr>
              <w:jc w:val="both"/>
            </w:pPr>
          </w:p>
          <w:p w:rsidR="00720621" w:rsidRDefault="00A534F6" w:rsidP="00720621">
            <w:pPr>
              <w:jc w:val="both"/>
            </w:pPr>
            <w:r>
              <w:t>The substitute does not include a separate effective date for the required minimum wage provisions.</w:t>
            </w:r>
          </w:p>
          <w:p w:rsidR="00720621" w:rsidRDefault="00A534F6" w:rsidP="00720621">
            <w:pPr>
              <w:jc w:val="both"/>
            </w:pPr>
          </w:p>
          <w:p w:rsidR="00720621" w:rsidRDefault="00A534F6" w:rsidP="00720621">
            <w:pPr>
              <w:jc w:val="both"/>
            </w:pPr>
            <w:r>
              <w:t xml:space="preserve">The substitute changes the expiration date for provisions relating to the minimum wage plan from </w:t>
            </w:r>
            <w:r>
              <w:t xml:space="preserve">September 1, 2021, to September 1, 2023. </w:t>
            </w:r>
          </w:p>
          <w:p w:rsidR="00720621" w:rsidRDefault="00A534F6" w:rsidP="00720621">
            <w:pPr>
              <w:jc w:val="both"/>
            </w:pPr>
          </w:p>
          <w:p w:rsidR="00851121" w:rsidRPr="009C1E9A" w:rsidRDefault="00A534F6" w:rsidP="00720621">
            <w:pPr>
              <w:rPr>
                <w:b/>
                <w:u w:val="single"/>
              </w:rPr>
            </w:pPr>
            <w:r>
              <w:t xml:space="preserve">The substitute includes a provision that expires September 1, 2023, setting the date by which wage requirements apply to a community rehabilitation program's eligibility to participate in the </w:t>
            </w:r>
            <w:r w:rsidRPr="001F6647">
              <w:t>purchasing from peopl</w:t>
            </w:r>
            <w:r w:rsidRPr="001F6647">
              <w:t>e with disabilities program</w:t>
            </w:r>
            <w:r>
              <w:t>.</w:t>
            </w:r>
          </w:p>
        </w:tc>
      </w:tr>
      <w:tr w:rsidR="00513355" w:rsidTr="00345119">
        <w:tc>
          <w:tcPr>
            <w:tcW w:w="9576" w:type="dxa"/>
          </w:tcPr>
          <w:p w:rsidR="00851121" w:rsidRPr="00BC5753" w:rsidRDefault="00A534F6" w:rsidP="00BC5753">
            <w:pPr>
              <w:spacing w:line="480" w:lineRule="auto"/>
              <w:jc w:val="both"/>
            </w:pPr>
          </w:p>
        </w:tc>
      </w:tr>
      <w:tr w:rsidR="00513355" w:rsidTr="00345119">
        <w:tc>
          <w:tcPr>
            <w:tcW w:w="9576" w:type="dxa"/>
          </w:tcPr>
          <w:p w:rsidR="00BC5753" w:rsidRPr="00851121" w:rsidRDefault="00A534F6" w:rsidP="008136F3">
            <w:pPr>
              <w:jc w:val="both"/>
            </w:pPr>
          </w:p>
        </w:tc>
      </w:tr>
      <w:tr w:rsidR="00513355" w:rsidTr="00345119">
        <w:tc>
          <w:tcPr>
            <w:tcW w:w="9576" w:type="dxa"/>
          </w:tcPr>
          <w:p w:rsidR="00BC5753" w:rsidRPr="00851121" w:rsidRDefault="00A534F6" w:rsidP="008136F3">
            <w:pPr>
              <w:jc w:val="both"/>
            </w:pPr>
          </w:p>
        </w:tc>
      </w:tr>
      <w:tr w:rsidR="00513355" w:rsidTr="00345119">
        <w:tc>
          <w:tcPr>
            <w:tcW w:w="9576" w:type="dxa"/>
          </w:tcPr>
          <w:p w:rsidR="00BC5753" w:rsidRPr="00851121" w:rsidRDefault="00A534F6" w:rsidP="008136F3">
            <w:pPr>
              <w:jc w:val="both"/>
            </w:pPr>
          </w:p>
        </w:tc>
      </w:tr>
    </w:tbl>
    <w:p w:rsidR="004108C3" w:rsidRPr="008423E4" w:rsidRDefault="00A534F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34F6">
      <w:r>
        <w:separator/>
      </w:r>
    </w:p>
  </w:endnote>
  <w:endnote w:type="continuationSeparator" w:id="0">
    <w:p w:rsidR="00000000" w:rsidRDefault="00A5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3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13355" w:rsidTr="009C1E9A">
      <w:trPr>
        <w:cantSplit/>
      </w:trPr>
      <w:tc>
        <w:tcPr>
          <w:tcW w:w="0" w:type="pct"/>
        </w:tcPr>
        <w:p w:rsidR="00137D90" w:rsidRDefault="00A534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534F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534F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534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534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13355" w:rsidTr="009C1E9A">
      <w:trPr>
        <w:cantSplit/>
      </w:trPr>
      <w:tc>
        <w:tcPr>
          <w:tcW w:w="0" w:type="pct"/>
        </w:tcPr>
        <w:p w:rsidR="00EC379B" w:rsidRDefault="00A534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534F6" w:rsidP="007600B2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24280</w:t>
          </w:r>
        </w:p>
      </w:tc>
      <w:tc>
        <w:tcPr>
          <w:tcW w:w="2453" w:type="pct"/>
        </w:tcPr>
        <w:p w:rsidR="00EC379B" w:rsidRDefault="00A534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19.93.454</w:t>
          </w:r>
          <w:r>
            <w:fldChar w:fldCharType="end"/>
          </w:r>
        </w:p>
      </w:tc>
    </w:tr>
    <w:tr w:rsidR="00513355" w:rsidTr="009C1E9A">
      <w:trPr>
        <w:cantSplit/>
      </w:trPr>
      <w:tc>
        <w:tcPr>
          <w:tcW w:w="0" w:type="pct"/>
        </w:tcPr>
        <w:p w:rsidR="00EC379B" w:rsidRDefault="00A534F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534F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19228</w:t>
          </w:r>
        </w:p>
      </w:tc>
      <w:tc>
        <w:tcPr>
          <w:tcW w:w="2453" w:type="pct"/>
        </w:tcPr>
        <w:p w:rsidR="00EC379B" w:rsidRDefault="00A534F6" w:rsidP="006D504F">
          <w:pPr>
            <w:pStyle w:val="Footer"/>
            <w:rPr>
              <w:rStyle w:val="PageNumber"/>
            </w:rPr>
          </w:pPr>
        </w:p>
        <w:p w:rsidR="00EC379B" w:rsidRDefault="00A534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1335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534F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A534F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534F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3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34F6">
      <w:r>
        <w:separator/>
      </w:r>
    </w:p>
  </w:footnote>
  <w:footnote w:type="continuationSeparator" w:id="0">
    <w:p w:rsidR="00000000" w:rsidRDefault="00A53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3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34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3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F83"/>
    <w:multiLevelType w:val="hybridMultilevel"/>
    <w:tmpl w:val="14B49CFE"/>
    <w:lvl w:ilvl="0" w:tplc="E4844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04D8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8CC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63E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844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AE3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6F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C56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C44D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F4416"/>
    <w:multiLevelType w:val="hybridMultilevel"/>
    <w:tmpl w:val="A0BE177E"/>
    <w:lvl w:ilvl="0" w:tplc="0AE07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4A76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A8B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CDC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894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4CB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24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640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BA9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D074A"/>
    <w:multiLevelType w:val="hybridMultilevel"/>
    <w:tmpl w:val="9F7622C0"/>
    <w:lvl w:ilvl="0" w:tplc="2C8E9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8C06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EA5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04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4C5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1200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EC9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C2D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F82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55"/>
    <w:rsid w:val="00513355"/>
    <w:rsid w:val="00A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CFA7A3-F6F8-46D0-BBDD-42DE2214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C1A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1A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1A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1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1ACD"/>
    <w:rPr>
      <w:b/>
      <w:bCs/>
    </w:rPr>
  </w:style>
  <w:style w:type="paragraph" w:styleId="ListParagraph">
    <w:name w:val="List Paragraph"/>
    <w:basedOn w:val="Normal"/>
    <w:uiPriority w:val="34"/>
    <w:qFormat/>
    <w:rsid w:val="00007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</Words>
  <Characters>6005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HB00885 (Committee Report (Substituted))</vt:lpstr>
    </vt:vector>
  </TitlesOfParts>
  <Company>State of Texas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24280</dc:subject>
  <dc:creator>State of Texas</dc:creator>
  <dc:description>HB 885 by Raney-(H)International Relations &amp; Economic Development (Substitute Document Number: 86R 19228)</dc:description>
  <cp:lastModifiedBy>Scotty Wimberley</cp:lastModifiedBy>
  <cp:revision>2</cp:revision>
  <cp:lastPrinted>2003-11-26T17:21:00Z</cp:lastPrinted>
  <dcterms:created xsi:type="dcterms:W3CDTF">2019-04-05T16:11:00Z</dcterms:created>
  <dcterms:modified xsi:type="dcterms:W3CDTF">2019-04-05T16:11:00Z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19.93.454</vt:lpwstr>
  </property>
</Properties>
</file>