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D3DE2" w:rsidTr="00345119">
        <w:tc>
          <w:tcPr>
            <w:tcW w:w="9576" w:type="dxa"/>
            <w:noWrap/>
          </w:tcPr>
          <w:p w:rsidR="008423E4" w:rsidRPr="0022177D" w:rsidRDefault="00ED0311" w:rsidP="00345119">
            <w:pPr>
              <w:pStyle w:val="Heading1"/>
            </w:pPr>
            <w:bookmarkStart w:id="0" w:name="_GoBack"/>
            <w:bookmarkEnd w:id="0"/>
            <w:r w:rsidRPr="00631897">
              <w:t>BILL ANALYSIS</w:t>
            </w:r>
          </w:p>
        </w:tc>
      </w:tr>
    </w:tbl>
    <w:p w:rsidR="008423E4" w:rsidRPr="0022177D" w:rsidRDefault="00ED0311" w:rsidP="008423E4">
      <w:pPr>
        <w:jc w:val="center"/>
      </w:pPr>
    </w:p>
    <w:p w:rsidR="008423E4" w:rsidRPr="00B31F0E" w:rsidRDefault="00ED0311" w:rsidP="008423E4"/>
    <w:p w:rsidR="008423E4" w:rsidRPr="00742794" w:rsidRDefault="00ED0311" w:rsidP="008423E4">
      <w:pPr>
        <w:tabs>
          <w:tab w:val="right" w:pos="9360"/>
        </w:tabs>
      </w:pPr>
    </w:p>
    <w:tbl>
      <w:tblPr>
        <w:tblW w:w="0" w:type="auto"/>
        <w:tblLayout w:type="fixed"/>
        <w:tblLook w:val="01E0" w:firstRow="1" w:lastRow="1" w:firstColumn="1" w:lastColumn="1" w:noHBand="0" w:noVBand="0"/>
      </w:tblPr>
      <w:tblGrid>
        <w:gridCol w:w="9576"/>
      </w:tblGrid>
      <w:tr w:rsidR="00ED3DE2" w:rsidTr="00345119">
        <w:tc>
          <w:tcPr>
            <w:tcW w:w="9576" w:type="dxa"/>
          </w:tcPr>
          <w:p w:rsidR="008423E4" w:rsidRPr="00861995" w:rsidRDefault="00ED0311" w:rsidP="00620368">
            <w:pPr>
              <w:jc w:val="right"/>
            </w:pPr>
            <w:r>
              <w:t>C.S.H.B. 914</w:t>
            </w:r>
          </w:p>
        </w:tc>
      </w:tr>
      <w:tr w:rsidR="00ED3DE2" w:rsidTr="00345119">
        <w:tc>
          <w:tcPr>
            <w:tcW w:w="9576" w:type="dxa"/>
          </w:tcPr>
          <w:p w:rsidR="008423E4" w:rsidRPr="00861995" w:rsidRDefault="00ED0311" w:rsidP="00032BED">
            <w:pPr>
              <w:jc w:val="right"/>
            </w:pPr>
            <w:r>
              <w:t xml:space="preserve">By: </w:t>
            </w:r>
            <w:r>
              <w:t>Thompson, Senfronia</w:t>
            </w:r>
          </w:p>
        </w:tc>
      </w:tr>
      <w:tr w:rsidR="00ED3DE2" w:rsidTr="00345119">
        <w:tc>
          <w:tcPr>
            <w:tcW w:w="9576" w:type="dxa"/>
          </w:tcPr>
          <w:p w:rsidR="008423E4" w:rsidRPr="00861995" w:rsidRDefault="00ED0311" w:rsidP="00620368">
            <w:pPr>
              <w:jc w:val="right"/>
            </w:pPr>
            <w:r>
              <w:t>Licensing &amp; Administrative Procedures</w:t>
            </w:r>
          </w:p>
        </w:tc>
      </w:tr>
      <w:tr w:rsidR="00ED3DE2" w:rsidTr="00345119">
        <w:tc>
          <w:tcPr>
            <w:tcW w:w="9576" w:type="dxa"/>
          </w:tcPr>
          <w:p w:rsidR="008423E4" w:rsidRDefault="00ED0311" w:rsidP="00620368">
            <w:pPr>
              <w:jc w:val="right"/>
            </w:pPr>
            <w:r>
              <w:t>Committee Report (Substituted)</w:t>
            </w:r>
          </w:p>
        </w:tc>
      </w:tr>
    </w:tbl>
    <w:p w:rsidR="008423E4" w:rsidRDefault="00ED0311" w:rsidP="008423E4">
      <w:pPr>
        <w:tabs>
          <w:tab w:val="right" w:pos="9360"/>
        </w:tabs>
      </w:pPr>
    </w:p>
    <w:p w:rsidR="008423E4" w:rsidRDefault="00ED0311" w:rsidP="008423E4"/>
    <w:p w:rsidR="008423E4" w:rsidRDefault="00ED0311" w:rsidP="008423E4"/>
    <w:tbl>
      <w:tblPr>
        <w:tblW w:w="0" w:type="auto"/>
        <w:tblCellMar>
          <w:left w:w="115" w:type="dxa"/>
          <w:right w:w="115" w:type="dxa"/>
        </w:tblCellMar>
        <w:tblLook w:val="01E0" w:firstRow="1" w:lastRow="1" w:firstColumn="1" w:lastColumn="1" w:noHBand="0" w:noVBand="0"/>
      </w:tblPr>
      <w:tblGrid>
        <w:gridCol w:w="9576"/>
      </w:tblGrid>
      <w:tr w:rsidR="00ED3DE2" w:rsidTr="00345119">
        <w:tc>
          <w:tcPr>
            <w:tcW w:w="9576" w:type="dxa"/>
          </w:tcPr>
          <w:p w:rsidR="008423E4" w:rsidRPr="00A8133F" w:rsidRDefault="00ED0311" w:rsidP="00331EED">
            <w:pPr>
              <w:rPr>
                <w:b/>
              </w:rPr>
            </w:pPr>
            <w:r w:rsidRPr="009C1E9A">
              <w:rPr>
                <w:b/>
                <w:u w:val="single"/>
              </w:rPr>
              <w:t>BACKGROUND AND PURPOSE</w:t>
            </w:r>
            <w:r>
              <w:rPr>
                <w:b/>
              </w:rPr>
              <w:t xml:space="preserve"> </w:t>
            </w:r>
          </w:p>
          <w:p w:rsidR="008423E4" w:rsidRDefault="00ED0311" w:rsidP="00331EED"/>
          <w:p w:rsidR="008423E4" w:rsidRDefault="00ED0311" w:rsidP="00331EED">
            <w:pPr>
              <w:pStyle w:val="Header"/>
              <w:jc w:val="both"/>
            </w:pPr>
            <w:r>
              <w:t>It has been noted that b</w:t>
            </w:r>
            <w:r>
              <w:t xml:space="preserve">ingo is </w:t>
            </w:r>
            <w:r>
              <w:t xml:space="preserve">used as </w:t>
            </w:r>
            <w:r>
              <w:t>a fund</w:t>
            </w:r>
            <w:r>
              <w:t>-</w:t>
            </w:r>
            <w:r>
              <w:t xml:space="preserve">raising tool by </w:t>
            </w:r>
            <w:r>
              <w:t xml:space="preserve">organizations across </w:t>
            </w:r>
            <w:r>
              <w:t>Texas that</w:t>
            </w:r>
            <w:r>
              <w:t xml:space="preserve"> are</w:t>
            </w:r>
            <w:r>
              <w:t xml:space="preserve"> </w:t>
            </w:r>
            <w:r>
              <w:t xml:space="preserve">authorized to conduct bingo </w:t>
            </w:r>
            <w:r>
              <w:t xml:space="preserve">to raise money to support the organization's charitable purposes. Concerns have been raised regarding </w:t>
            </w:r>
            <w:r>
              <w:t xml:space="preserve">the costs </w:t>
            </w:r>
            <w:r>
              <w:t xml:space="preserve">incurred in </w:t>
            </w:r>
            <w:r>
              <w:t xml:space="preserve">conducting </w:t>
            </w:r>
            <w:r>
              <w:t xml:space="preserve">bingo </w:t>
            </w:r>
            <w:r>
              <w:t>that reduce</w:t>
            </w:r>
            <w:r>
              <w:t xml:space="preserve"> the net proceeds available for those charitable purposes</w:t>
            </w:r>
            <w:r>
              <w:t xml:space="preserve">. </w:t>
            </w:r>
            <w:r>
              <w:t>C.S.</w:t>
            </w:r>
            <w:r>
              <w:t>H.B. 914 seek</w:t>
            </w:r>
            <w:r>
              <w:t xml:space="preserve">s to help </w:t>
            </w:r>
            <w:r>
              <w:t>increase</w:t>
            </w:r>
            <w:r>
              <w:t xml:space="preserve"> such </w:t>
            </w:r>
            <w:r>
              <w:t xml:space="preserve">proceeds </w:t>
            </w:r>
            <w:r>
              <w:t>by revising certain statutory provisions relating to the</w:t>
            </w:r>
            <w:r>
              <w:t xml:space="preserve"> regulation</w:t>
            </w:r>
            <w:r>
              <w:t xml:space="preserve"> of bingo.</w:t>
            </w:r>
          </w:p>
          <w:p w:rsidR="008423E4" w:rsidRPr="00E26B13" w:rsidRDefault="00ED0311" w:rsidP="00331EED">
            <w:pPr>
              <w:rPr>
                <w:b/>
              </w:rPr>
            </w:pPr>
          </w:p>
        </w:tc>
      </w:tr>
      <w:tr w:rsidR="00ED3DE2" w:rsidTr="00345119">
        <w:tc>
          <w:tcPr>
            <w:tcW w:w="9576" w:type="dxa"/>
          </w:tcPr>
          <w:p w:rsidR="0017725B" w:rsidRDefault="00ED0311" w:rsidP="00331EED">
            <w:pPr>
              <w:rPr>
                <w:b/>
                <w:u w:val="single"/>
              </w:rPr>
            </w:pPr>
            <w:r>
              <w:rPr>
                <w:b/>
                <w:u w:val="single"/>
              </w:rPr>
              <w:t>CRIMINAL JUSTICE IMPACT</w:t>
            </w:r>
          </w:p>
          <w:p w:rsidR="0017725B" w:rsidRDefault="00ED0311" w:rsidP="00331EED">
            <w:pPr>
              <w:rPr>
                <w:b/>
                <w:u w:val="single"/>
              </w:rPr>
            </w:pPr>
          </w:p>
          <w:p w:rsidR="00D42D5B" w:rsidRPr="00D42D5B" w:rsidRDefault="00ED0311" w:rsidP="00331EED">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ED0311" w:rsidP="00331EED">
            <w:pPr>
              <w:rPr>
                <w:b/>
                <w:u w:val="single"/>
              </w:rPr>
            </w:pPr>
          </w:p>
        </w:tc>
      </w:tr>
      <w:tr w:rsidR="00ED3DE2" w:rsidTr="00345119">
        <w:tc>
          <w:tcPr>
            <w:tcW w:w="9576" w:type="dxa"/>
          </w:tcPr>
          <w:p w:rsidR="008423E4" w:rsidRPr="00A8133F" w:rsidRDefault="00ED0311" w:rsidP="00331EED">
            <w:pPr>
              <w:rPr>
                <w:b/>
              </w:rPr>
            </w:pPr>
            <w:r w:rsidRPr="009C1E9A">
              <w:rPr>
                <w:b/>
                <w:u w:val="single"/>
              </w:rPr>
              <w:t>RULEMAKING AUTHORITY</w:t>
            </w:r>
            <w:r>
              <w:rPr>
                <w:b/>
              </w:rPr>
              <w:t xml:space="preserve"> </w:t>
            </w:r>
          </w:p>
          <w:p w:rsidR="008423E4" w:rsidRDefault="00ED0311" w:rsidP="00331EED"/>
          <w:p w:rsidR="00E84C95" w:rsidRDefault="00ED0311" w:rsidP="00331EED">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ED0311" w:rsidP="00331EED">
            <w:pPr>
              <w:rPr>
                <w:b/>
              </w:rPr>
            </w:pPr>
          </w:p>
        </w:tc>
      </w:tr>
      <w:tr w:rsidR="00ED3DE2" w:rsidTr="00345119">
        <w:tc>
          <w:tcPr>
            <w:tcW w:w="9576" w:type="dxa"/>
          </w:tcPr>
          <w:p w:rsidR="008423E4" w:rsidRPr="00A8133F" w:rsidRDefault="00ED0311" w:rsidP="00331EED">
            <w:pPr>
              <w:rPr>
                <w:b/>
              </w:rPr>
            </w:pPr>
            <w:r w:rsidRPr="009C1E9A">
              <w:rPr>
                <w:b/>
                <w:u w:val="single"/>
              </w:rPr>
              <w:t>ANALYSIS</w:t>
            </w:r>
            <w:r>
              <w:rPr>
                <w:b/>
              </w:rPr>
              <w:t xml:space="preserve"> </w:t>
            </w:r>
          </w:p>
          <w:p w:rsidR="008423E4" w:rsidRDefault="00ED0311" w:rsidP="00331EED"/>
          <w:p w:rsidR="00740766" w:rsidRDefault="00ED0311" w:rsidP="00331EED">
            <w:pPr>
              <w:pStyle w:val="Header"/>
              <w:jc w:val="both"/>
            </w:pPr>
            <w:r>
              <w:t>C.S.</w:t>
            </w:r>
            <w:r w:rsidRPr="00740766">
              <w:t>H.B. 914</w:t>
            </w:r>
            <w:r>
              <w:t xml:space="preserve"> repeals Occupations Code provisions</w:t>
            </w:r>
            <w:r w:rsidRPr="00740766">
              <w:t xml:space="preserve"> relating to licensing fees under the Bingo Enabling Act</w:t>
            </w:r>
            <w:r>
              <w:t xml:space="preserve"> applicable to</w:t>
            </w:r>
            <w:r>
              <w:t xml:space="preserve"> </w:t>
            </w:r>
            <w:r w:rsidRPr="00740766">
              <w:t>a temporary license to conduct bingo</w:t>
            </w:r>
            <w:r>
              <w:t xml:space="preserve">, </w:t>
            </w:r>
            <w:r w:rsidRPr="00740766">
              <w:t>a license to conduct bingo,</w:t>
            </w:r>
            <w:r>
              <w:t xml:space="preserve"> </w:t>
            </w:r>
            <w:r w:rsidRPr="00BA5A24">
              <w:t>an initial and renewal application submitted for inclusion in the registry of approved bingo workers,</w:t>
            </w:r>
            <w:r>
              <w:t xml:space="preserve"> and </w:t>
            </w:r>
            <w:r w:rsidRPr="00BA5A24">
              <w:t>an initial or renewal unit manager license</w:t>
            </w:r>
            <w:r>
              <w:t>.</w:t>
            </w:r>
          </w:p>
          <w:p w:rsidR="00956ECD" w:rsidRDefault="00ED0311" w:rsidP="00331EED">
            <w:pPr>
              <w:pStyle w:val="Header"/>
              <w:jc w:val="both"/>
            </w:pPr>
          </w:p>
          <w:p w:rsidR="006F2337" w:rsidRDefault="00ED0311" w:rsidP="00331EED">
            <w:pPr>
              <w:pStyle w:val="Header"/>
              <w:jc w:val="both"/>
            </w:pPr>
            <w:r>
              <w:t>C.S.</w:t>
            </w:r>
            <w:r>
              <w:t xml:space="preserve">H.B. 914 amends the Occupations Code </w:t>
            </w:r>
            <w:r>
              <w:t xml:space="preserve">to </w:t>
            </w:r>
            <w:r>
              <w:t>provide for the collection of a</w:t>
            </w:r>
            <w:r>
              <w:t xml:space="preserve"> </w:t>
            </w:r>
            <w:r>
              <w:t xml:space="preserve">fee </w:t>
            </w:r>
            <w:r>
              <w:t xml:space="preserve">on </w:t>
            </w:r>
            <w:r>
              <w:t xml:space="preserve">cash bingo prizes by a licensed authorized organization or </w:t>
            </w:r>
            <w:r>
              <w:t xml:space="preserve">unit </w:t>
            </w:r>
            <w:r>
              <w:t>that conducts</w:t>
            </w:r>
            <w:r>
              <w:t xml:space="preserve"> bingo</w:t>
            </w:r>
            <w:r>
              <w:t xml:space="preserve">. </w:t>
            </w:r>
            <w:r>
              <w:t>Effective September 1, 2019, t</w:t>
            </w:r>
            <w:r>
              <w:t>he bill</w:t>
            </w:r>
            <w:r>
              <w:t xml:space="preserve"> </w:t>
            </w:r>
            <w:r>
              <w:t>makes</w:t>
            </w:r>
            <w:r w:rsidRPr="00797F59">
              <w:t xml:space="preserve"> the prize </w:t>
            </w:r>
            <w:r>
              <w:t>fee</w:t>
            </w:r>
            <w:r w:rsidRPr="00797F59">
              <w:t xml:space="preserve"> </w:t>
            </w:r>
            <w:r>
              <w:t>inapplicable</w:t>
            </w:r>
            <w:r w:rsidRPr="00797F59">
              <w:t xml:space="preserve"> to a merchandise prize</w:t>
            </w:r>
            <w:r>
              <w:t xml:space="preserve"> </w:t>
            </w:r>
            <w:r w:rsidRPr="00DC3763">
              <w:t>awarded as a prize for winning a bingo game</w:t>
            </w:r>
            <w:r>
              <w:t xml:space="preserve"> and the use of a card-minding device </w:t>
            </w:r>
            <w:r>
              <w:t xml:space="preserve">so </w:t>
            </w:r>
            <w:r>
              <w:t>awarded</w:t>
            </w:r>
            <w:r w:rsidRPr="00797F59">
              <w:t>.</w:t>
            </w:r>
            <w:r>
              <w:t xml:space="preserve"> The bill sets out provisions requiring </w:t>
            </w:r>
            <w:r>
              <w:t>a licensed authorized</w:t>
            </w:r>
            <w:r>
              <w:t xml:space="preserve"> organization</w:t>
            </w:r>
            <w:r>
              <w:t xml:space="preserve"> or unit</w:t>
            </w:r>
            <w:r>
              <w:t xml:space="preserve"> to remit quarterly 50 percent of the amount collected as the prize </w:t>
            </w:r>
            <w:r>
              <w:t>fee</w:t>
            </w:r>
            <w:r>
              <w:t xml:space="preserve"> to the </w:t>
            </w:r>
            <w:r>
              <w:t>Texas L</w:t>
            </w:r>
            <w:r>
              <w:t xml:space="preserve">ottery </w:t>
            </w:r>
            <w:r>
              <w:t>C</w:t>
            </w:r>
            <w:r>
              <w:t xml:space="preserve">ommission </w:t>
            </w:r>
            <w:r>
              <w:t xml:space="preserve">and 50 percent to </w:t>
            </w:r>
            <w:r w:rsidRPr="00624994">
              <w:t>the</w:t>
            </w:r>
            <w:r w:rsidRPr="00624994">
              <w:t xml:space="preserve"> county </w:t>
            </w:r>
            <w:r>
              <w:t>or</w:t>
            </w:r>
            <w:r w:rsidRPr="00624994">
              <w:t xml:space="preserve"> municipality in which the bingo game is conducted</w:t>
            </w:r>
            <w:r>
              <w:t>,</w:t>
            </w:r>
            <w:r w:rsidRPr="00624994">
              <w:t xml:space="preserve"> </w:t>
            </w:r>
            <w:r>
              <w:t xml:space="preserve">based on </w:t>
            </w:r>
            <w:r>
              <w:t xml:space="preserve">whether the county or municipality </w:t>
            </w:r>
            <w:r>
              <w:t xml:space="preserve">voted to impose such a </w:t>
            </w:r>
            <w:r>
              <w:t>fee</w:t>
            </w:r>
            <w:r>
              <w:t xml:space="preserve"> before November 1, 2019</w:t>
            </w:r>
            <w:r>
              <w:t xml:space="preserve">, </w:t>
            </w:r>
            <w:r>
              <w:t xml:space="preserve">or 25 percent to each </w:t>
            </w:r>
            <w:r>
              <w:t>if both</w:t>
            </w:r>
            <w:r>
              <w:t xml:space="preserve"> </w:t>
            </w:r>
            <w:r>
              <w:t xml:space="preserve">the </w:t>
            </w:r>
            <w:r>
              <w:t>county and municipality</w:t>
            </w:r>
            <w:r>
              <w:t xml:space="preserve"> so voted</w:t>
            </w:r>
            <w:r>
              <w:t>.</w:t>
            </w:r>
            <w:r>
              <w:t xml:space="preserve"> </w:t>
            </w:r>
            <w:r>
              <w:t>The bill</w:t>
            </w:r>
            <w:r w:rsidRPr="00624994">
              <w:t xml:space="preserve"> </w:t>
            </w:r>
            <w:r>
              <w:t>requires the county o</w:t>
            </w:r>
            <w:r>
              <w:t>r municipality, as applicable, to</w:t>
            </w:r>
            <w:r w:rsidRPr="00624994">
              <w:t xml:space="preserve"> deposit a certain amount of the </w:t>
            </w:r>
            <w:r>
              <w:t>fee</w:t>
            </w:r>
            <w:r w:rsidRPr="00624994">
              <w:t>s in the general charitable fund of the organization</w:t>
            </w:r>
            <w:r>
              <w:t xml:space="preserve"> or on a pro rata basis to the general funds of the organizations comprising </w:t>
            </w:r>
            <w:r>
              <w:t xml:space="preserve">a </w:t>
            </w:r>
            <w:r>
              <w:t>unit</w:t>
            </w:r>
            <w:r w:rsidRPr="00624994">
              <w:t>.</w:t>
            </w:r>
            <w:r>
              <w:t xml:space="preserve"> </w:t>
            </w:r>
            <w:r>
              <w:t>The bill authorizes a county or municipality to vo</w:t>
            </w:r>
            <w:r>
              <w:t xml:space="preserve">te to discontinue the fee at any time and provides for the disposition of the fee if a county or municipality </w:t>
            </w:r>
            <w:r>
              <w:t>votes to do so after November 1, 2019.</w:t>
            </w:r>
          </w:p>
          <w:p w:rsidR="006F2337" w:rsidRDefault="00ED0311" w:rsidP="00331EED">
            <w:pPr>
              <w:pStyle w:val="Header"/>
              <w:jc w:val="both"/>
            </w:pPr>
          </w:p>
          <w:p w:rsidR="00A740AC" w:rsidRDefault="00ED0311" w:rsidP="00331EED">
            <w:pPr>
              <w:pStyle w:val="Header"/>
              <w:jc w:val="both"/>
            </w:pPr>
            <w:r>
              <w:t xml:space="preserve">C.S.H.B. 914 </w:t>
            </w:r>
            <w:r>
              <w:t xml:space="preserve">sets out conditions under which </w:t>
            </w:r>
            <w:r>
              <w:t xml:space="preserve">the </w:t>
            </w:r>
            <w:r w:rsidRPr="00F54F34">
              <w:t xml:space="preserve">governing body of a county or municipality </w:t>
            </w:r>
            <w:r>
              <w:t>will</w:t>
            </w:r>
            <w:r w:rsidRPr="000F363A">
              <w:t xml:space="preserve"> receive a</w:t>
            </w:r>
            <w:r w:rsidRPr="000F363A">
              <w:t xml:space="preserve"> portion of the prize </w:t>
            </w:r>
            <w:r>
              <w:t>fee</w:t>
            </w:r>
            <w:r w:rsidRPr="000F363A">
              <w:t xml:space="preserve"> collected </w:t>
            </w:r>
            <w:r>
              <w:t>and</w:t>
            </w:r>
            <w:r>
              <w:t xml:space="preserve"> requires the lottery commission, not later than October 1, </w:t>
            </w:r>
            <w:r>
              <w:t>2019</w:t>
            </w:r>
            <w:r>
              <w:t xml:space="preserve">, to </w:t>
            </w:r>
            <w:r w:rsidRPr="001518AF">
              <w:t>notify the governing body of a county or municipality</w:t>
            </w:r>
            <w:r>
              <w:t xml:space="preserve"> of the requirements </w:t>
            </w:r>
            <w:r>
              <w:t xml:space="preserve">for </w:t>
            </w:r>
            <w:r>
              <w:t xml:space="preserve">continued receipt of the </w:t>
            </w:r>
            <w:r>
              <w:t>prize fee</w:t>
            </w:r>
            <w:r w:rsidRPr="00F54F34">
              <w:t>.</w:t>
            </w:r>
            <w:r>
              <w:t xml:space="preserve"> </w:t>
            </w:r>
            <w:r>
              <w:t>Effective September 1, 2019, t</w:t>
            </w:r>
            <w:r>
              <w:t xml:space="preserve">he </w:t>
            </w:r>
            <w:r>
              <w:t>bill</w:t>
            </w:r>
            <w:r>
              <w:t xml:space="preserve"> establishes that</w:t>
            </w:r>
            <w:r>
              <w:t xml:space="preserve"> </w:t>
            </w:r>
            <w:r>
              <w:t xml:space="preserve">the revenue collected by the lottery commission from </w:t>
            </w:r>
            <w:r>
              <w:t>the prize</w:t>
            </w:r>
            <w:r>
              <w:t xml:space="preserve"> fee </w:t>
            </w:r>
            <w:r>
              <w:t xml:space="preserve">is considered </w:t>
            </w:r>
            <w:r w:rsidRPr="000A3816">
              <w:t>miscellaneous revenue for purposes of appropriations made to the</w:t>
            </w:r>
            <w:r>
              <w:t xml:space="preserve"> lottery</w:t>
            </w:r>
            <w:r w:rsidRPr="000A3816">
              <w:t xml:space="preserve"> commission under the General Appropriations Act for the administration</w:t>
            </w:r>
            <w:r w:rsidRPr="00740766">
              <w:t xml:space="preserve"> </w:t>
            </w:r>
            <w:r>
              <w:t xml:space="preserve">of </w:t>
            </w:r>
            <w:r w:rsidRPr="00740766">
              <w:t>the Bi</w:t>
            </w:r>
            <w:r w:rsidRPr="00740766">
              <w:t>ngo Enabling Act</w:t>
            </w:r>
            <w:r>
              <w:t xml:space="preserve"> and removes the specification that the revenue is deposited to the credit of a special account</w:t>
            </w:r>
            <w:r>
              <w:t xml:space="preserve"> in the general revenue fund</w:t>
            </w:r>
            <w:r>
              <w:t>.</w:t>
            </w:r>
          </w:p>
          <w:p w:rsidR="008F6DFA" w:rsidRDefault="00ED0311" w:rsidP="00331EED">
            <w:pPr>
              <w:pStyle w:val="Header"/>
              <w:jc w:val="both"/>
            </w:pPr>
          </w:p>
          <w:p w:rsidR="0034498E" w:rsidRDefault="00ED0311" w:rsidP="00331EED">
            <w:pPr>
              <w:pStyle w:val="Header"/>
              <w:jc w:val="both"/>
            </w:pPr>
            <w:r>
              <w:t>C.S.</w:t>
            </w:r>
            <w:r>
              <w:t xml:space="preserve">H.B. 914 </w:t>
            </w:r>
            <w:r>
              <w:t>replace</w:t>
            </w:r>
            <w:r>
              <w:t>s</w:t>
            </w:r>
            <w:r>
              <w:t xml:space="preserve"> the requirement </w:t>
            </w:r>
            <w:r>
              <w:t>that</w:t>
            </w:r>
            <w:r>
              <w:t xml:space="preserve"> </w:t>
            </w:r>
            <w:r>
              <w:t xml:space="preserve">a holder of </w:t>
            </w:r>
            <w:r w:rsidRPr="008E362A">
              <w:t>an authorized organization license or a commercial lessor l</w:t>
            </w:r>
            <w:r w:rsidRPr="008E362A">
              <w:t>icense</w:t>
            </w:r>
            <w:r>
              <w:t xml:space="preserve"> </w:t>
            </w:r>
            <w:r w:rsidRPr="00442BFC">
              <w:t>send a copy of the license to the appropriate governing body</w:t>
            </w:r>
            <w:r w:rsidRPr="004A34F7">
              <w:t xml:space="preserve"> immediately after receiving the license </w:t>
            </w:r>
            <w:r>
              <w:t xml:space="preserve">and </w:t>
            </w:r>
            <w:r w:rsidRPr="00F73D14">
              <w:t>give written notice of the issuance of the license</w:t>
            </w:r>
            <w:r>
              <w:t xml:space="preserve"> to certain local authorities</w:t>
            </w:r>
            <w:r>
              <w:t xml:space="preserve"> </w:t>
            </w:r>
            <w:r>
              <w:t xml:space="preserve">by a specified deadline </w:t>
            </w:r>
            <w:r>
              <w:t xml:space="preserve">with </w:t>
            </w:r>
            <w:r>
              <w:t>a</w:t>
            </w:r>
            <w:r>
              <w:t xml:space="preserve"> requirement </w:t>
            </w:r>
            <w:r>
              <w:t>that</w:t>
            </w:r>
            <w:r>
              <w:t xml:space="preserve"> the </w:t>
            </w:r>
            <w:r>
              <w:t>l</w:t>
            </w:r>
            <w:r>
              <w:t xml:space="preserve">ottery </w:t>
            </w:r>
            <w:r>
              <w:t xml:space="preserve">commission </w:t>
            </w:r>
            <w:r>
              <w:t>so</w:t>
            </w:r>
            <w:r>
              <w:t xml:space="preserve"> send and notify</w:t>
            </w:r>
            <w:r>
              <w:t xml:space="preserve"> after issuing the license</w:t>
            </w:r>
            <w:r>
              <w:t xml:space="preserve">. The bill extends the period during which a </w:t>
            </w:r>
            <w:r w:rsidRPr="00442BFC">
              <w:t xml:space="preserve">licensed authorized organization may employ an individual who is not on the </w:t>
            </w:r>
            <w:r>
              <w:t xml:space="preserve">approved bingo worker </w:t>
            </w:r>
            <w:r w:rsidRPr="00442BFC">
              <w:t>registry</w:t>
            </w:r>
            <w:r>
              <w:t xml:space="preserve"> i</w:t>
            </w:r>
            <w:r w:rsidRPr="00442BFC">
              <w:t>f the individual is awaiting the results of a ba</w:t>
            </w:r>
            <w:r w:rsidRPr="00442BFC">
              <w:t xml:space="preserve">ckground check by the </w:t>
            </w:r>
            <w:r>
              <w:t xml:space="preserve">lottery </w:t>
            </w:r>
            <w:r w:rsidRPr="00442BFC">
              <w:t>commission</w:t>
            </w:r>
            <w:r>
              <w:t xml:space="preserve"> </w:t>
            </w:r>
            <w:r>
              <w:t xml:space="preserve">and is a Texas resident </w:t>
            </w:r>
            <w:r>
              <w:t xml:space="preserve">from a period </w:t>
            </w:r>
            <w:r w:rsidRPr="00442BFC">
              <w:t>not to exceed</w:t>
            </w:r>
            <w:r>
              <w:t xml:space="preserve"> 14 days </w:t>
            </w:r>
            <w:r>
              <w:t xml:space="preserve">to </w:t>
            </w:r>
            <w:r>
              <w:t>a period not to exceed 30 days. The bill authorizes</w:t>
            </w:r>
            <w:r>
              <w:t xml:space="preserve"> </w:t>
            </w:r>
            <w:r>
              <w:t xml:space="preserve">one or two </w:t>
            </w:r>
            <w:r>
              <w:t xml:space="preserve">additional </w:t>
            </w:r>
            <w:r w:rsidRPr="00584A50">
              <w:t xml:space="preserve">bingo occasions </w:t>
            </w:r>
            <w:r>
              <w:t>to</w:t>
            </w:r>
            <w:r w:rsidRPr="00584A50">
              <w:t xml:space="preserve"> be held at the same premises at which bingo occasions are c</w:t>
            </w:r>
            <w:r w:rsidRPr="00584A50">
              <w:t>onducted under the annual license of one or more licensed authorized organizations</w:t>
            </w:r>
            <w:r>
              <w:t xml:space="preserve">, in addition to bingo occasions otherwise authorized at that premises </w:t>
            </w:r>
            <w:r>
              <w:t>with certain limitations</w:t>
            </w:r>
            <w:r w:rsidRPr="00584A50">
              <w:t>.</w:t>
            </w:r>
            <w:r>
              <w:t xml:space="preserve"> </w:t>
            </w:r>
            <w:r w:rsidRPr="003870B5">
              <w:t>The bill specifies that bingo cards, pull-tab bingo tickets, and the use of c</w:t>
            </w:r>
            <w:r w:rsidRPr="003870B5">
              <w:t>ard-minding devices for a bingo occasion may be sold at the licensed premises at any time beginning one hour before the bingo occasion and ending at the conclusion of the bingo occasion. The bill authorizes</w:t>
            </w:r>
            <w:r>
              <w:t xml:space="preserve"> a licensed authorized</w:t>
            </w:r>
            <w:r w:rsidRPr="003870B5">
              <w:t xml:space="preserve"> organization</w:t>
            </w:r>
            <w:r w:rsidRPr="003870B5">
              <w:t xml:space="preserve"> </w:t>
            </w:r>
            <w:r>
              <w:t>that sells</w:t>
            </w:r>
            <w:r w:rsidRPr="003870B5">
              <w:t xml:space="preserve"> pul</w:t>
            </w:r>
            <w:r w:rsidRPr="003870B5">
              <w:t xml:space="preserve">l-tab bingo tickets </w:t>
            </w:r>
            <w:r>
              <w:t>and</w:t>
            </w:r>
            <w:r w:rsidRPr="003870B5">
              <w:t xml:space="preserve"> conducts consecutive</w:t>
            </w:r>
            <w:r>
              <w:t xml:space="preserve"> bingo occasions during one day </w:t>
            </w:r>
            <w:r w:rsidRPr="003870B5">
              <w:t>to account for and report all of the pull-tab bingo ticket sales for the occasions as sales for the final occasion.</w:t>
            </w:r>
            <w:r>
              <w:t xml:space="preserve"> The bill </w:t>
            </w:r>
            <w:r>
              <w:t xml:space="preserve">extends </w:t>
            </w:r>
            <w:r>
              <w:t>the</w:t>
            </w:r>
            <w:r>
              <w:t xml:space="preserve"> deadline by which a licensed authorized org</w:t>
            </w:r>
            <w:r>
              <w:t>anization is required to deposit applicable funds derived from the conduct of bingo in the bingo account,</w:t>
            </w:r>
            <w:r>
              <w:t xml:space="preserve"> </w:t>
            </w:r>
            <w:r>
              <w:t>specifies that the bingo operations of a licensed authorized organization must result in net proceeds for the organization's bingo operations</w:t>
            </w:r>
            <w:r>
              <w:t>,</w:t>
            </w:r>
            <w:r>
              <w:t xml:space="preserve"> and cha</w:t>
            </w:r>
            <w:r>
              <w:t xml:space="preserve">nges the period for which proceeds are counted to over each </w:t>
            </w:r>
            <w:r>
              <w:t>18</w:t>
            </w:r>
            <w:r>
              <w:t xml:space="preserve">-month period beginning on the first anniversary of the date the initial license was issued to the organization. The bill </w:t>
            </w:r>
            <w:r>
              <w:t xml:space="preserve">sets the same </w:t>
            </w:r>
            <w:r>
              <w:t>18</w:t>
            </w:r>
            <w:r>
              <w:t>-month period for</w:t>
            </w:r>
            <w:r>
              <w:t xml:space="preserve"> counting the proceeds of</w:t>
            </w:r>
            <w:r>
              <w:t xml:space="preserve"> </w:t>
            </w:r>
            <w:r w:rsidRPr="00D42D5B">
              <w:t>bingo operati</w:t>
            </w:r>
            <w:r w:rsidRPr="00D42D5B">
              <w:t xml:space="preserve">ons </w:t>
            </w:r>
            <w:r>
              <w:t>for</w:t>
            </w:r>
            <w:r w:rsidRPr="00D42D5B">
              <w:t xml:space="preserve"> </w:t>
            </w:r>
            <w:r w:rsidRPr="00D42D5B">
              <w:t>a unit beginning on the first anniversary of the date the unit is formed.</w:t>
            </w:r>
          </w:p>
          <w:p w:rsidR="008962D8" w:rsidRDefault="00ED0311" w:rsidP="00331EED">
            <w:pPr>
              <w:pStyle w:val="Header"/>
              <w:jc w:val="both"/>
            </w:pPr>
          </w:p>
          <w:p w:rsidR="003A58B8" w:rsidRDefault="00ED0311" w:rsidP="00331EED">
            <w:pPr>
              <w:pStyle w:val="Header"/>
              <w:jc w:val="both"/>
            </w:pPr>
            <w:r>
              <w:t>C.S.H.B. 914 amends the Government Code</w:t>
            </w:r>
            <w:r>
              <w:t xml:space="preserve"> </w:t>
            </w:r>
            <w:r>
              <w:t>to make conforming changes.</w:t>
            </w:r>
          </w:p>
          <w:p w:rsidR="00E84C95" w:rsidRDefault="00ED0311" w:rsidP="00331EED">
            <w:pPr>
              <w:pStyle w:val="Header"/>
              <w:tabs>
                <w:tab w:val="clear" w:pos="4320"/>
                <w:tab w:val="clear" w:pos="8640"/>
              </w:tabs>
              <w:jc w:val="both"/>
            </w:pPr>
          </w:p>
          <w:p w:rsidR="00212AD1" w:rsidRDefault="00ED0311" w:rsidP="00331EED">
            <w:pPr>
              <w:pStyle w:val="Header"/>
              <w:tabs>
                <w:tab w:val="clear" w:pos="4320"/>
                <w:tab w:val="clear" w:pos="8640"/>
              </w:tabs>
              <w:jc w:val="both"/>
            </w:pPr>
            <w:r>
              <w:t xml:space="preserve">C.S.H.B. 914 repeals the </w:t>
            </w:r>
            <w:r w:rsidRPr="00212AD1">
              <w:t xml:space="preserve">following </w:t>
            </w:r>
            <w:r>
              <w:t>provisions</w:t>
            </w:r>
            <w:r w:rsidRPr="00212AD1">
              <w:t xml:space="preserve"> of the Occupations Code</w:t>
            </w:r>
            <w:r>
              <w:t>:</w:t>
            </w:r>
          </w:p>
          <w:p w:rsidR="00212AD1" w:rsidRDefault="00ED0311" w:rsidP="00331EED">
            <w:pPr>
              <w:pStyle w:val="Header"/>
              <w:numPr>
                <w:ilvl w:val="0"/>
                <w:numId w:val="1"/>
              </w:numPr>
              <w:spacing w:before="120" w:after="120"/>
              <w:jc w:val="both"/>
            </w:pPr>
            <w:r>
              <w:t>Section 2001.103(a-1)</w:t>
            </w:r>
          </w:p>
          <w:p w:rsidR="00212AD1" w:rsidRDefault="00ED0311" w:rsidP="00331EED">
            <w:pPr>
              <w:pStyle w:val="Header"/>
              <w:numPr>
                <w:ilvl w:val="0"/>
                <w:numId w:val="1"/>
              </w:numPr>
              <w:spacing w:before="120" w:after="120"/>
              <w:jc w:val="both"/>
            </w:pPr>
            <w:r>
              <w:t xml:space="preserve">Section </w:t>
            </w:r>
            <w:r>
              <w:t>2001.104</w:t>
            </w:r>
          </w:p>
          <w:p w:rsidR="00212AD1" w:rsidRDefault="00ED0311" w:rsidP="00331EED">
            <w:pPr>
              <w:pStyle w:val="Header"/>
              <w:numPr>
                <w:ilvl w:val="0"/>
                <w:numId w:val="1"/>
              </w:numPr>
              <w:spacing w:before="120" w:after="120"/>
              <w:jc w:val="both"/>
            </w:pPr>
            <w:r>
              <w:t>Section 2001.313(b-3)</w:t>
            </w:r>
          </w:p>
          <w:p w:rsidR="00212AD1" w:rsidRDefault="00ED0311" w:rsidP="00331EED">
            <w:pPr>
              <w:pStyle w:val="Header"/>
              <w:numPr>
                <w:ilvl w:val="0"/>
                <w:numId w:val="1"/>
              </w:numPr>
              <w:spacing w:before="120" w:after="120"/>
              <w:jc w:val="both"/>
            </w:pPr>
            <w:r>
              <w:t>Section 2001.437(i)</w:t>
            </w:r>
          </w:p>
          <w:p w:rsidR="00212AD1" w:rsidRDefault="00ED0311" w:rsidP="00331EED">
            <w:pPr>
              <w:pStyle w:val="Header"/>
              <w:numPr>
                <w:ilvl w:val="0"/>
                <w:numId w:val="1"/>
              </w:numPr>
              <w:spacing w:before="120" w:after="120"/>
              <w:jc w:val="both"/>
            </w:pPr>
            <w:r>
              <w:t>Section 2001.503</w:t>
            </w:r>
          </w:p>
          <w:p w:rsidR="00212AD1" w:rsidRDefault="00ED0311" w:rsidP="00C955BD">
            <w:pPr>
              <w:pStyle w:val="Header"/>
              <w:numPr>
                <w:ilvl w:val="0"/>
                <w:numId w:val="1"/>
              </w:numPr>
              <w:jc w:val="both"/>
            </w:pPr>
            <w:r>
              <w:t>Sections 2001.507(b), (c), (d), (e), (f), (g), (h), and (i)</w:t>
            </w:r>
          </w:p>
          <w:p w:rsidR="008423E4" w:rsidRPr="00835628" w:rsidRDefault="00ED0311" w:rsidP="00331EED">
            <w:pPr>
              <w:rPr>
                <w:b/>
              </w:rPr>
            </w:pPr>
          </w:p>
        </w:tc>
      </w:tr>
      <w:tr w:rsidR="00ED3DE2" w:rsidTr="00345119">
        <w:tc>
          <w:tcPr>
            <w:tcW w:w="9576" w:type="dxa"/>
          </w:tcPr>
          <w:p w:rsidR="008423E4" w:rsidRDefault="00ED0311" w:rsidP="00331EED">
            <w:r w:rsidRPr="009C1E9A">
              <w:rPr>
                <w:b/>
                <w:u w:val="single"/>
              </w:rPr>
              <w:t>EFFECTIVE DATE</w:t>
            </w:r>
            <w:r>
              <w:rPr>
                <w:b/>
              </w:rPr>
              <w:t xml:space="preserve"> </w:t>
            </w:r>
          </w:p>
          <w:p w:rsidR="0044139A" w:rsidRDefault="00ED0311" w:rsidP="00331EED"/>
          <w:p w:rsidR="008423E4" w:rsidRPr="003624F2" w:rsidRDefault="00ED0311" w:rsidP="00331EED">
            <w:pPr>
              <w:pStyle w:val="Header"/>
              <w:tabs>
                <w:tab w:val="clear" w:pos="4320"/>
                <w:tab w:val="clear" w:pos="8640"/>
              </w:tabs>
              <w:jc w:val="both"/>
            </w:pPr>
            <w:r>
              <w:t xml:space="preserve">Except as otherwise provided, </w:t>
            </w:r>
            <w:r>
              <w:t xml:space="preserve">January </w:t>
            </w:r>
            <w:r>
              <w:t>1, 20</w:t>
            </w:r>
            <w:r>
              <w:t>20</w:t>
            </w:r>
            <w:r>
              <w:t>.</w:t>
            </w:r>
          </w:p>
          <w:p w:rsidR="008423E4" w:rsidRPr="00233FDB" w:rsidRDefault="00ED0311" w:rsidP="00331EED">
            <w:pPr>
              <w:rPr>
                <w:b/>
              </w:rPr>
            </w:pPr>
          </w:p>
        </w:tc>
      </w:tr>
      <w:tr w:rsidR="00ED3DE2" w:rsidTr="00345119">
        <w:tc>
          <w:tcPr>
            <w:tcW w:w="9576" w:type="dxa"/>
          </w:tcPr>
          <w:p w:rsidR="00032BED" w:rsidRDefault="00ED0311" w:rsidP="00331EED">
            <w:pPr>
              <w:jc w:val="both"/>
              <w:rPr>
                <w:b/>
                <w:u w:val="single"/>
              </w:rPr>
            </w:pPr>
            <w:r>
              <w:rPr>
                <w:b/>
                <w:u w:val="single"/>
              </w:rPr>
              <w:t>COMPARISON OF ORIGINAL AND SUBSTITUTE</w:t>
            </w:r>
          </w:p>
          <w:p w:rsidR="000A3816" w:rsidRDefault="00ED0311" w:rsidP="00331EED">
            <w:pPr>
              <w:jc w:val="both"/>
            </w:pPr>
          </w:p>
          <w:p w:rsidR="000A3816" w:rsidRDefault="00ED0311" w:rsidP="00331EED">
            <w:pPr>
              <w:jc w:val="both"/>
            </w:pPr>
            <w:r>
              <w:t xml:space="preserve">While C.S.H.B. 914 </w:t>
            </w:r>
            <w:r>
              <w:t>may differ from the original in minor or nonsubstantive ways, the following summarizes the substantial differences between the introduced and committee substitute versions of the bill.</w:t>
            </w:r>
          </w:p>
          <w:p w:rsidR="000A3816" w:rsidRPr="00C955BD" w:rsidRDefault="00ED0311" w:rsidP="00331EED">
            <w:pPr>
              <w:jc w:val="both"/>
              <w:rPr>
                <w:sz w:val="22"/>
              </w:rPr>
            </w:pPr>
          </w:p>
          <w:p w:rsidR="000A3816" w:rsidRDefault="00ED0311" w:rsidP="00C955BD">
            <w:pPr>
              <w:jc w:val="both"/>
            </w:pPr>
            <w:r>
              <w:t>The substitute</w:t>
            </w:r>
            <w:r>
              <w:t xml:space="preserve"> does not include</w:t>
            </w:r>
            <w:r>
              <w:t xml:space="preserve"> provisions </w:t>
            </w:r>
            <w:r>
              <w:t>providing for the collectio</w:t>
            </w:r>
            <w:r>
              <w:t>n of a tax on cash bingo prizes and replacing references to a bingo prize fee with references to the prize</w:t>
            </w:r>
            <w:r>
              <w:t xml:space="preserve"> tax. </w:t>
            </w:r>
            <w:r>
              <w:t xml:space="preserve">The substitute does not include provisions </w:t>
            </w:r>
            <w:r>
              <w:t xml:space="preserve">relating to the termination of </w:t>
            </w:r>
            <w:r>
              <w:t>an</w:t>
            </w:r>
            <w:r>
              <w:t xml:space="preserve"> </w:t>
            </w:r>
            <w:r>
              <w:t>e</w:t>
            </w:r>
            <w:r>
              <w:t>ntitlement to a prize tax share</w:t>
            </w:r>
            <w:r>
              <w:t xml:space="preserve"> under certain circumstances</w:t>
            </w:r>
            <w:r>
              <w:t>.</w:t>
            </w:r>
          </w:p>
          <w:p w:rsidR="005C29B5" w:rsidRDefault="00ED0311" w:rsidP="00C955BD">
            <w:pPr>
              <w:jc w:val="both"/>
            </w:pPr>
          </w:p>
          <w:p w:rsidR="00E42BE1" w:rsidRDefault="00ED0311" w:rsidP="00C955BD">
            <w:pPr>
              <w:jc w:val="both"/>
            </w:pPr>
            <w:r>
              <w:t xml:space="preserve">The substitute shortens the changed period for which proceeds of the bingo operations of a </w:t>
            </w:r>
            <w:r w:rsidRPr="00534B97">
              <w:t xml:space="preserve">licensed authorized organization are counted </w:t>
            </w:r>
            <w:r>
              <w:t xml:space="preserve">from over each 24-month </w:t>
            </w:r>
            <w:r w:rsidRPr="00534B97">
              <w:t>period beginning on the first anniversary of the date the</w:t>
            </w:r>
            <w:r>
              <w:t xml:space="preserve"> organization's</w:t>
            </w:r>
            <w:r w:rsidRPr="00534B97">
              <w:t xml:space="preserve"> initial license</w:t>
            </w:r>
            <w:r>
              <w:t xml:space="preserve"> was iss</w:t>
            </w:r>
            <w:r>
              <w:t xml:space="preserve">ued </w:t>
            </w:r>
            <w:r w:rsidRPr="00534B97">
              <w:t>to over each 18-month</w:t>
            </w:r>
            <w:r>
              <w:t xml:space="preserve"> period beginning on that first anniversary.</w:t>
            </w:r>
          </w:p>
          <w:p w:rsidR="00E42BE1" w:rsidRDefault="00ED0311" w:rsidP="00C955BD">
            <w:pPr>
              <w:jc w:val="both"/>
            </w:pPr>
          </w:p>
          <w:p w:rsidR="00C431C3" w:rsidRDefault="00ED0311" w:rsidP="00C955BD">
            <w:pPr>
              <w:jc w:val="both"/>
            </w:pPr>
            <w:r>
              <w:t xml:space="preserve">The substitute </w:t>
            </w:r>
            <w:r>
              <w:t xml:space="preserve">includes </w:t>
            </w:r>
            <w:r>
              <w:t>a provision providing a unit's deposit</w:t>
            </w:r>
            <w:r>
              <w:t xml:space="preserve"> </w:t>
            </w:r>
            <w:r>
              <w:t>of</w:t>
            </w:r>
            <w:r>
              <w:t xml:space="preserve"> 50 percent of a</w:t>
            </w:r>
            <w:r>
              <w:t xml:space="preserve"> </w:t>
            </w:r>
            <w:r>
              <w:t xml:space="preserve">collected prize </w:t>
            </w:r>
            <w:r>
              <w:t>fee</w:t>
            </w:r>
            <w:r>
              <w:t xml:space="preserve"> </w:t>
            </w:r>
            <w:r>
              <w:t>on a pro rata</w:t>
            </w:r>
            <w:r>
              <w:t xml:space="preserve"> basis to the general funds of the organizations comprising the</w:t>
            </w:r>
            <w:r>
              <w:t xml:space="preserve"> unit</w:t>
            </w:r>
            <w:r>
              <w:t xml:space="preserve"> i</w:t>
            </w:r>
            <w:r>
              <w:t>f a county or municipality is not entitled to a percentage of the fees</w:t>
            </w:r>
            <w:r w:rsidRPr="00624994">
              <w:t>.</w:t>
            </w:r>
            <w:r>
              <w:t xml:space="preserve"> </w:t>
            </w:r>
            <w:r>
              <w:t xml:space="preserve">The substitute </w:t>
            </w:r>
            <w:r>
              <w:t xml:space="preserve">includes </w:t>
            </w:r>
            <w:r>
              <w:t>a provision</w:t>
            </w:r>
            <w:r>
              <w:t xml:space="preserve"> </w:t>
            </w:r>
            <w:r>
              <w:t xml:space="preserve">establishing </w:t>
            </w:r>
            <w:r>
              <w:t>that</w:t>
            </w:r>
            <w:r>
              <w:t xml:space="preserve"> </w:t>
            </w:r>
            <w:r>
              <w:t>the</w:t>
            </w:r>
            <w:r>
              <w:t xml:space="preserve"> revenue collected</w:t>
            </w:r>
            <w:r>
              <w:t xml:space="preserve"> by the lottery commission</w:t>
            </w:r>
            <w:r>
              <w:t xml:space="preserve"> from the prize fee </w:t>
            </w:r>
            <w:r>
              <w:t xml:space="preserve">is considered </w:t>
            </w:r>
            <w:r w:rsidRPr="00D23EAF">
              <w:t>miscellaneous revenue for purposes of appropriati</w:t>
            </w:r>
            <w:r w:rsidRPr="00D23EAF">
              <w:t>ons made to the lottery commission under the General Appropriations Act for the administration the Bingo Enabling Act</w:t>
            </w:r>
            <w:r>
              <w:t>.</w:t>
            </w:r>
          </w:p>
          <w:p w:rsidR="00C431C3" w:rsidRDefault="00ED0311" w:rsidP="00C955BD">
            <w:pPr>
              <w:jc w:val="both"/>
            </w:pPr>
          </w:p>
          <w:p w:rsidR="002B6B83" w:rsidRDefault="00ED0311" w:rsidP="00C955BD">
            <w:pPr>
              <w:jc w:val="both"/>
            </w:pPr>
            <w:r>
              <w:t xml:space="preserve">The substitute revises </w:t>
            </w:r>
            <w:r>
              <w:t xml:space="preserve">certain </w:t>
            </w:r>
            <w:r>
              <w:t xml:space="preserve">deadlines </w:t>
            </w:r>
            <w:r>
              <w:t>associated with a</w:t>
            </w:r>
            <w:r>
              <w:t xml:space="preserve"> </w:t>
            </w:r>
            <w:r>
              <w:t>county</w:t>
            </w:r>
            <w:r>
              <w:t>'s</w:t>
            </w:r>
            <w:r>
              <w:t xml:space="preserve"> or municipality</w:t>
            </w:r>
            <w:r>
              <w:t>'s entitlement to</w:t>
            </w:r>
            <w:r>
              <w:t xml:space="preserve"> receiv</w:t>
            </w:r>
            <w:r>
              <w:t>e</w:t>
            </w:r>
            <w:r>
              <w:t xml:space="preserve"> a portion of a prize fee.</w:t>
            </w:r>
          </w:p>
          <w:p w:rsidR="002B6B83" w:rsidRDefault="00ED0311" w:rsidP="00C955BD">
            <w:pPr>
              <w:jc w:val="both"/>
            </w:pPr>
          </w:p>
          <w:p w:rsidR="008E4697" w:rsidRDefault="00ED0311" w:rsidP="00C955BD">
            <w:pPr>
              <w:jc w:val="both"/>
            </w:pPr>
            <w:r>
              <w:t>The substitute</w:t>
            </w:r>
            <w:r>
              <w:t xml:space="preserve"> </w:t>
            </w:r>
            <w:r>
              <w:t>changes the effective date of certain provisions of the bill.</w:t>
            </w:r>
          </w:p>
          <w:p w:rsidR="000A3816" w:rsidRPr="000A3816" w:rsidRDefault="00ED0311" w:rsidP="00331EED">
            <w:pPr>
              <w:jc w:val="both"/>
            </w:pPr>
          </w:p>
        </w:tc>
      </w:tr>
      <w:tr w:rsidR="00ED3DE2" w:rsidTr="00345119">
        <w:tc>
          <w:tcPr>
            <w:tcW w:w="9576" w:type="dxa"/>
          </w:tcPr>
          <w:p w:rsidR="00032BED" w:rsidRPr="009C1E9A" w:rsidRDefault="00ED0311" w:rsidP="00331EED">
            <w:pPr>
              <w:rPr>
                <w:b/>
                <w:u w:val="single"/>
              </w:rPr>
            </w:pPr>
          </w:p>
        </w:tc>
      </w:tr>
      <w:tr w:rsidR="00ED3DE2" w:rsidTr="00345119">
        <w:tc>
          <w:tcPr>
            <w:tcW w:w="9576" w:type="dxa"/>
          </w:tcPr>
          <w:p w:rsidR="00032BED" w:rsidRPr="00032BED" w:rsidRDefault="00ED0311" w:rsidP="00331EED">
            <w:pPr>
              <w:jc w:val="both"/>
            </w:pPr>
          </w:p>
        </w:tc>
      </w:tr>
    </w:tbl>
    <w:p w:rsidR="004108C3" w:rsidRPr="008423E4" w:rsidRDefault="00ED031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0311">
      <w:r>
        <w:separator/>
      </w:r>
    </w:p>
  </w:endnote>
  <w:endnote w:type="continuationSeparator" w:id="0">
    <w:p w:rsidR="00000000" w:rsidRDefault="00ED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58" w:rsidRDefault="00ED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3DE2" w:rsidTr="009C1E9A">
      <w:trPr>
        <w:cantSplit/>
      </w:trPr>
      <w:tc>
        <w:tcPr>
          <w:tcW w:w="0" w:type="pct"/>
        </w:tcPr>
        <w:p w:rsidR="00137D90" w:rsidRDefault="00ED0311" w:rsidP="009C1E9A">
          <w:pPr>
            <w:pStyle w:val="Footer"/>
            <w:tabs>
              <w:tab w:val="clear" w:pos="8640"/>
              <w:tab w:val="right" w:pos="9360"/>
            </w:tabs>
          </w:pPr>
        </w:p>
      </w:tc>
      <w:tc>
        <w:tcPr>
          <w:tcW w:w="2395" w:type="pct"/>
        </w:tcPr>
        <w:p w:rsidR="00137D90" w:rsidRDefault="00ED0311" w:rsidP="009C1E9A">
          <w:pPr>
            <w:pStyle w:val="Footer"/>
            <w:tabs>
              <w:tab w:val="clear" w:pos="8640"/>
              <w:tab w:val="right" w:pos="9360"/>
            </w:tabs>
          </w:pPr>
        </w:p>
        <w:p w:rsidR="001A4310" w:rsidRDefault="00ED0311" w:rsidP="009C1E9A">
          <w:pPr>
            <w:pStyle w:val="Footer"/>
            <w:tabs>
              <w:tab w:val="clear" w:pos="8640"/>
              <w:tab w:val="right" w:pos="9360"/>
            </w:tabs>
          </w:pPr>
        </w:p>
        <w:p w:rsidR="00137D90" w:rsidRDefault="00ED0311" w:rsidP="009C1E9A">
          <w:pPr>
            <w:pStyle w:val="Footer"/>
            <w:tabs>
              <w:tab w:val="clear" w:pos="8640"/>
              <w:tab w:val="right" w:pos="9360"/>
            </w:tabs>
          </w:pPr>
        </w:p>
      </w:tc>
      <w:tc>
        <w:tcPr>
          <w:tcW w:w="2453" w:type="pct"/>
        </w:tcPr>
        <w:p w:rsidR="00137D90" w:rsidRDefault="00ED0311" w:rsidP="009C1E9A">
          <w:pPr>
            <w:pStyle w:val="Footer"/>
            <w:tabs>
              <w:tab w:val="clear" w:pos="8640"/>
              <w:tab w:val="right" w:pos="9360"/>
            </w:tabs>
            <w:jc w:val="right"/>
          </w:pPr>
        </w:p>
      </w:tc>
    </w:tr>
    <w:tr w:rsidR="00ED3DE2" w:rsidTr="009C1E9A">
      <w:trPr>
        <w:cantSplit/>
      </w:trPr>
      <w:tc>
        <w:tcPr>
          <w:tcW w:w="0" w:type="pct"/>
        </w:tcPr>
        <w:p w:rsidR="00EC379B" w:rsidRDefault="00ED0311" w:rsidP="009C1E9A">
          <w:pPr>
            <w:pStyle w:val="Footer"/>
            <w:tabs>
              <w:tab w:val="clear" w:pos="8640"/>
              <w:tab w:val="right" w:pos="9360"/>
            </w:tabs>
          </w:pPr>
        </w:p>
      </w:tc>
      <w:tc>
        <w:tcPr>
          <w:tcW w:w="2395" w:type="pct"/>
        </w:tcPr>
        <w:p w:rsidR="00EC379B" w:rsidRPr="009C1E9A" w:rsidRDefault="00ED0311" w:rsidP="00620368">
          <w:pPr>
            <w:pStyle w:val="Footer"/>
            <w:tabs>
              <w:tab w:val="clear" w:pos="8640"/>
              <w:tab w:val="right" w:pos="9360"/>
            </w:tabs>
            <w:rPr>
              <w:rFonts w:ascii="Shruti" w:hAnsi="Shruti"/>
              <w:sz w:val="22"/>
            </w:rPr>
          </w:pPr>
          <w:r>
            <w:rPr>
              <w:rFonts w:ascii="Shruti" w:hAnsi="Shruti"/>
              <w:sz w:val="22"/>
            </w:rPr>
            <w:t>86R 25113</w:t>
          </w:r>
        </w:p>
      </w:tc>
      <w:tc>
        <w:tcPr>
          <w:tcW w:w="2453" w:type="pct"/>
        </w:tcPr>
        <w:p w:rsidR="00EC379B" w:rsidRDefault="00ED0311" w:rsidP="009C1E9A">
          <w:pPr>
            <w:pStyle w:val="Footer"/>
            <w:tabs>
              <w:tab w:val="clear" w:pos="8640"/>
              <w:tab w:val="right" w:pos="9360"/>
            </w:tabs>
            <w:jc w:val="right"/>
          </w:pPr>
          <w:r>
            <w:fldChar w:fldCharType="begin"/>
          </w:r>
          <w:r>
            <w:instrText xml:space="preserve"> DOCPROPERTY  OTID  \* MERGEFORMAT </w:instrText>
          </w:r>
          <w:r>
            <w:fldChar w:fldCharType="separate"/>
          </w:r>
          <w:r>
            <w:t>19.99.355</w:t>
          </w:r>
          <w:r>
            <w:fldChar w:fldCharType="end"/>
          </w:r>
        </w:p>
      </w:tc>
    </w:tr>
    <w:tr w:rsidR="00ED3DE2" w:rsidTr="009C1E9A">
      <w:trPr>
        <w:cantSplit/>
      </w:trPr>
      <w:tc>
        <w:tcPr>
          <w:tcW w:w="0" w:type="pct"/>
        </w:tcPr>
        <w:p w:rsidR="00EC379B" w:rsidRDefault="00ED0311" w:rsidP="009C1E9A">
          <w:pPr>
            <w:pStyle w:val="Footer"/>
            <w:tabs>
              <w:tab w:val="clear" w:pos="4320"/>
              <w:tab w:val="clear" w:pos="8640"/>
              <w:tab w:val="left" w:pos="2865"/>
            </w:tabs>
          </w:pPr>
        </w:p>
      </w:tc>
      <w:tc>
        <w:tcPr>
          <w:tcW w:w="2395" w:type="pct"/>
        </w:tcPr>
        <w:p w:rsidR="00EC379B" w:rsidRPr="009C1E9A" w:rsidRDefault="00ED031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86R </w:t>
          </w:r>
          <w:r>
            <w:rPr>
              <w:rFonts w:ascii="Shruti" w:hAnsi="Shruti"/>
              <w:sz w:val="22"/>
            </w:rPr>
            <w:t>22373</w:t>
          </w:r>
        </w:p>
      </w:tc>
      <w:tc>
        <w:tcPr>
          <w:tcW w:w="2453" w:type="pct"/>
        </w:tcPr>
        <w:p w:rsidR="00EC379B" w:rsidRDefault="00ED0311" w:rsidP="006D504F">
          <w:pPr>
            <w:pStyle w:val="Footer"/>
            <w:rPr>
              <w:rStyle w:val="PageNumber"/>
            </w:rPr>
          </w:pPr>
        </w:p>
        <w:p w:rsidR="00EC379B" w:rsidRDefault="00ED0311" w:rsidP="009C1E9A">
          <w:pPr>
            <w:pStyle w:val="Footer"/>
            <w:tabs>
              <w:tab w:val="clear" w:pos="8640"/>
              <w:tab w:val="right" w:pos="9360"/>
            </w:tabs>
            <w:jc w:val="right"/>
          </w:pPr>
        </w:p>
      </w:tc>
    </w:tr>
    <w:tr w:rsidR="00ED3DE2" w:rsidTr="009C1E9A">
      <w:trPr>
        <w:cantSplit/>
        <w:trHeight w:val="323"/>
      </w:trPr>
      <w:tc>
        <w:tcPr>
          <w:tcW w:w="0" w:type="pct"/>
          <w:gridSpan w:val="3"/>
        </w:tcPr>
        <w:p w:rsidR="00EC379B" w:rsidRDefault="00ED03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ED0311" w:rsidP="009C1E9A">
          <w:pPr>
            <w:pStyle w:val="Footer"/>
            <w:tabs>
              <w:tab w:val="clear" w:pos="8640"/>
              <w:tab w:val="right" w:pos="9360"/>
            </w:tabs>
            <w:jc w:val="center"/>
          </w:pPr>
        </w:p>
      </w:tc>
    </w:tr>
  </w:tbl>
  <w:p w:rsidR="00EC379B" w:rsidRPr="00FF6F72" w:rsidRDefault="00ED031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58" w:rsidRDefault="00ED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0311">
      <w:r>
        <w:separator/>
      </w:r>
    </w:p>
  </w:footnote>
  <w:footnote w:type="continuationSeparator" w:id="0">
    <w:p w:rsidR="00000000" w:rsidRDefault="00ED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58" w:rsidRDefault="00ED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58" w:rsidRDefault="00ED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58" w:rsidRDefault="00ED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CB1"/>
    <w:multiLevelType w:val="hybridMultilevel"/>
    <w:tmpl w:val="121284FA"/>
    <w:lvl w:ilvl="0" w:tplc="49581E20">
      <w:start w:val="1"/>
      <w:numFmt w:val="bullet"/>
      <w:lvlText w:val=""/>
      <w:lvlJc w:val="left"/>
      <w:pPr>
        <w:tabs>
          <w:tab w:val="num" w:pos="720"/>
        </w:tabs>
        <w:ind w:left="720" w:hanging="360"/>
      </w:pPr>
      <w:rPr>
        <w:rFonts w:ascii="Symbol" w:hAnsi="Symbol" w:hint="default"/>
      </w:rPr>
    </w:lvl>
    <w:lvl w:ilvl="1" w:tplc="23AABDEE" w:tentative="1">
      <w:start w:val="1"/>
      <w:numFmt w:val="bullet"/>
      <w:lvlText w:val="o"/>
      <w:lvlJc w:val="left"/>
      <w:pPr>
        <w:ind w:left="1440" w:hanging="360"/>
      </w:pPr>
      <w:rPr>
        <w:rFonts w:ascii="Courier New" w:hAnsi="Courier New" w:cs="Courier New" w:hint="default"/>
      </w:rPr>
    </w:lvl>
    <w:lvl w:ilvl="2" w:tplc="0B726ED2" w:tentative="1">
      <w:start w:val="1"/>
      <w:numFmt w:val="bullet"/>
      <w:lvlText w:val=""/>
      <w:lvlJc w:val="left"/>
      <w:pPr>
        <w:ind w:left="2160" w:hanging="360"/>
      </w:pPr>
      <w:rPr>
        <w:rFonts w:ascii="Wingdings" w:hAnsi="Wingdings" w:hint="default"/>
      </w:rPr>
    </w:lvl>
    <w:lvl w:ilvl="3" w:tplc="DDD846AE" w:tentative="1">
      <w:start w:val="1"/>
      <w:numFmt w:val="bullet"/>
      <w:lvlText w:val=""/>
      <w:lvlJc w:val="left"/>
      <w:pPr>
        <w:ind w:left="2880" w:hanging="360"/>
      </w:pPr>
      <w:rPr>
        <w:rFonts w:ascii="Symbol" w:hAnsi="Symbol" w:hint="default"/>
      </w:rPr>
    </w:lvl>
    <w:lvl w:ilvl="4" w:tplc="E976F8BC" w:tentative="1">
      <w:start w:val="1"/>
      <w:numFmt w:val="bullet"/>
      <w:lvlText w:val="o"/>
      <w:lvlJc w:val="left"/>
      <w:pPr>
        <w:ind w:left="3600" w:hanging="360"/>
      </w:pPr>
      <w:rPr>
        <w:rFonts w:ascii="Courier New" w:hAnsi="Courier New" w:cs="Courier New" w:hint="default"/>
      </w:rPr>
    </w:lvl>
    <w:lvl w:ilvl="5" w:tplc="108AE9E0" w:tentative="1">
      <w:start w:val="1"/>
      <w:numFmt w:val="bullet"/>
      <w:lvlText w:val=""/>
      <w:lvlJc w:val="left"/>
      <w:pPr>
        <w:ind w:left="4320" w:hanging="360"/>
      </w:pPr>
      <w:rPr>
        <w:rFonts w:ascii="Wingdings" w:hAnsi="Wingdings" w:hint="default"/>
      </w:rPr>
    </w:lvl>
    <w:lvl w:ilvl="6" w:tplc="F112BE3A" w:tentative="1">
      <w:start w:val="1"/>
      <w:numFmt w:val="bullet"/>
      <w:lvlText w:val=""/>
      <w:lvlJc w:val="left"/>
      <w:pPr>
        <w:ind w:left="5040" w:hanging="360"/>
      </w:pPr>
      <w:rPr>
        <w:rFonts w:ascii="Symbol" w:hAnsi="Symbol" w:hint="default"/>
      </w:rPr>
    </w:lvl>
    <w:lvl w:ilvl="7" w:tplc="3AE27DD8" w:tentative="1">
      <w:start w:val="1"/>
      <w:numFmt w:val="bullet"/>
      <w:lvlText w:val="o"/>
      <w:lvlJc w:val="left"/>
      <w:pPr>
        <w:ind w:left="5760" w:hanging="360"/>
      </w:pPr>
      <w:rPr>
        <w:rFonts w:ascii="Courier New" w:hAnsi="Courier New" w:cs="Courier New" w:hint="default"/>
      </w:rPr>
    </w:lvl>
    <w:lvl w:ilvl="8" w:tplc="57026B58" w:tentative="1">
      <w:start w:val="1"/>
      <w:numFmt w:val="bullet"/>
      <w:lvlText w:val=""/>
      <w:lvlJc w:val="left"/>
      <w:pPr>
        <w:ind w:left="6480" w:hanging="360"/>
      </w:pPr>
      <w:rPr>
        <w:rFonts w:ascii="Wingdings" w:hAnsi="Wingdings" w:hint="default"/>
      </w:rPr>
    </w:lvl>
  </w:abstractNum>
  <w:abstractNum w:abstractNumId="1" w15:restartNumberingAfterBreak="0">
    <w:nsid w:val="2A832430"/>
    <w:multiLevelType w:val="hybridMultilevel"/>
    <w:tmpl w:val="16C28CDC"/>
    <w:lvl w:ilvl="0" w:tplc="9A86A78C">
      <w:start w:val="1"/>
      <w:numFmt w:val="bullet"/>
      <w:lvlText w:val=""/>
      <w:lvlJc w:val="left"/>
      <w:pPr>
        <w:tabs>
          <w:tab w:val="num" w:pos="720"/>
        </w:tabs>
        <w:ind w:left="720" w:hanging="360"/>
      </w:pPr>
      <w:rPr>
        <w:rFonts w:ascii="Symbol" w:hAnsi="Symbol" w:hint="default"/>
      </w:rPr>
    </w:lvl>
    <w:lvl w:ilvl="1" w:tplc="13D08474" w:tentative="1">
      <w:start w:val="1"/>
      <w:numFmt w:val="bullet"/>
      <w:lvlText w:val="o"/>
      <w:lvlJc w:val="left"/>
      <w:pPr>
        <w:ind w:left="1440" w:hanging="360"/>
      </w:pPr>
      <w:rPr>
        <w:rFonts w:ascii="Courier New" w:hAnsi="Courier New" w:cs="Courier New" w:hint="default"/>
      </w:rPr>
    </w:lvl>
    <w:lvl w:ilvl="2" w:tplc="E2B842DC" w:tentative="1">
      <w:start w:val="1"/>
      <w:numFmt w:val="bullet"/>
      <w:lvlText w:val=""/>
      <w:lvlJc w:val="left"/>
      <w:pPr>
        <w:ind w:left="2160" w:hanging="360"/>
      </w:pPr>
      <w:rPr>
        <w:rFonts w:ascii="Wingdings" w:hAnsi="Wingdings" w:hint="default"/>
      </w:rPr>
    </w:lvl>
    <w:lvl w:ilvl="3" w:tplc="813EA572" w:tentative="1">
      <w:start w:val="1"/>
      <w:numFmt w:val="bullet"/>
      <w:lvlText w:val=""/>
      <w:lvlJc w:val="left"/>
      <w:pPr>
        <w:ind w:left="2880" w:hanging="360"/>
      </w:pPr>
      <w:rPr>
        <w:rFonts w:ascii="Symbol" w:hAnsi="Symbol" w:hint="default"/>
      </w:rPr>
    </w:lvl>
    <w:lvl w:ilvl="4" w:tplc="B99C0CE4" w:tentative="1">
      <w:start w:val="1"/>
      <w:numFmt w:val="bullet"/>
      <w:lvlText w:val="o"/>
      <w:lvlJc w:val="left"/>
      <w:pPr>
        <w:ind w:left="3600" w:hanging="360"/>
      </w:pPr>
      <w:rPr>
        <w:rFonts w:ascii="Courier New" w:hAnsi="Courier New" w:cs="Courier New" w:hint="default"/>
      </w:rPr>
    </w:lvl>
    <w:lvl w:ilvl="5" w:tplc="F74EEE6E" w:tentative="1">
      <w:start w:val="1"/>
      <w:numFmt w:val="bullet"/>
      <w:lvlText w:val=""/>
      <w:lvlJc w:val="left"/>
      <w:pPr>
        <w:ind w:left="4320" w:hanging="360"/>
      </w:pPr>
      <w:rPr>
        <w:rFonts w:ascii="Wingdings" w:hAnsi="Wingdings" w:hint="default"/>
      </w:rPr>
    </w:lvl>
    <w:lvl w:ilvl="6" w:tplc="877AF572" w:tentative="1">
      <w:start w:val="1"/>
      <w:numFmt w:val="bullet"/>
      <w:lvlText w:val=""/>
      <w:lvlJc w:val="left"/>
      <w:pPr>
        <w:ind w:left="5040" w:hanging="360"/>
      </w:pPr>
      <w:rPr>
        <w:rFonts w:ascii="Symbol" w:hAnsi="Symbol" w:hint="default"/>
      </w:rPr>
    </w:lvl>
    <w:lvl w:ilvl="7" w:tplc="A112CF00" w:tentative="1">
      <w:start w:val="1"/>
      <w:numFmt w:val="bullet"/>
      <w:lvlText w:val="o"/>
      <w:lvlJc w:val="left"/>
      <w:pPr>
        <w:ind w:left="5760" w:hanging="360"/>
      </w:pPr>
      <w:rPr>
        <w:rFonts w:ascii="Courier New" w:hAnsi="Courier New" w:cs="Courier New" w:hint="default"/>
      </w:rPr>
    </w:lvl>
    <w:lvl w:ilvl="8" w:tplc="D61C6A6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E2"/>
    <w:rsid w:val="00ED0311"/>
    <w:rsid w:val="00ED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79470-67A9-4070-8F25-53A253F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12AD1"/>
    <w:rPr>
      <w:sz w:val="16"/>
      <w:szCs w:val="16"/>
    </w:rPr>
  </w:style>
  <w:style w:type="paragraph" w:styleId="CommentText">
    <w:name w:val="annotation text"/>
    <w:basedOn w:val="Normal"/>
    <w:link w:val="CommentTextChar"/>
    <w:semiHidden/>
    <w:unhideWhenUsed/>
    <w:rsid w:val="00212AD1"/>
    <w:rPr>
      <w:sz w:val="20"/>
      <w:szCs w:val="20"/>
    </w:rPr>
  </w:style>
  <w:style w:type="character" w:customStyle="1" w:styleId="CommentTextChar">
    <w:name w:val="Comment Text Char"/>
    <w:basedOn w:val="DefaultParagraphFont"/>
    <w:link w:val="CommentText"/>
    <w:semiHidden/>
    <w:rsid w:val="00212AD1"/>
  </w:style>
  <w:style w:type="paragraph" w:styleId="CommentSubject">
    <w:name w:val="annotation subject"/>
    <w:basedOn w:val="CommentText"/>
    <w:next w:val="CommentText"/>
    <w:link w:val="CommentSubjectChar"/>
    <w:semiHidden/>
    <w:unhideWhenUsed/>
    <w:rsid w:val="00212AD1"/>
    <w:rPr>
      <w:b/>
      <w:bCs/>
    </w:rPr>
  </w:style>
  <w:style w:type="character" w:customStyle="1" w:styleId="CommentSubjectChar">
    <w:name w:val="Comment Subject Char"/>
    <w:basedOn w:val="CommentTextChar"/>
    <w:link w:val="CommentSubject"/>
    <w:semiHidden/>
    <w:rsid w:val="00212AD1"/>
    <w:rPr>
      <w:b/>
      <w:bCs/>
    </w:rPr>
  </w:style>
  <w:style w:type="paragraph" w:styleId="Revision">
    <w:name w:val="Revision"/>
    <w:hidden/>
    <w:uiPriority w:val="99"/>
    <w:semiHidden/>
    <w:rsid w:val="008455FF"/>
    <w:rPr>
      <w:sz w:val="24"/>
      <w:szCs w:val="24"/>
    </w:rPr>
  </w:style>
  <w:style w:type="paragraph" w:styleId="ListParagraph">
    <w:name w:val="List Paragraph"/>
    <w:basedOn w:val="Normal"/>
    <w:uiPriority w:val="34"/>
    <w:qFormat/>
    <w:rsid w:val="000A3816"/>
    <w:pPr>
      <w:ind w:left="720"/>
      <w:contextualSpacing/>
    </w:pPr>
  </w:style>
  <w:style w:type="paragraph" w:styleId="HTMLPreformatted">
    <w:name w:val="HTML Preformatted"/>
    <w:basedOn w:val="Normal"/>
    <w:link w:val="HTMLPreformattedChar"/>
    <w:uiPriority w:val="99"/>
    <w:semiHidden/>
    <w:unhideWhenUsed/>
    <w:rsid w:val="002D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02E2"/>
    <w:rPr>
      <w:rFonts w:ascii="Courier New" w:hAnsi="Courier New" w:cs="Courier New"/>
    </w:rPr>
  </w:style>
  <w:style w:type="character" w:styleId="Hyperlink">
    <w:name w:val="Hyperlink"/>
    <w:basedOn w:val="DefaultParagraphFont"/>
    <w:uiPriority w:val="99"/>
    <w:semiHidden/>
    <w:unhideWhenUsed/>
    <w:rsid w:val="00873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6463</Characters>
  <Application>Microsoft Office Word</Application>
  <DocSecurity>4</DocSecurity>
  <Lines>130</Lines>
  <Paragraphs>33</Paragraphs>
  <ScaleCrop>false</ScaleCrop>
  <HeadingPairs>
    <vt:vector size="2" baseType="variant">
      <vt:variant>
        <vt:lpstr>Title</vt:lpstr>
      </vt:variant>
      <vt:variant>
        <vt:i4>1</vt:i4>
      </vt:variant>
    </vt:vector>
  </HeadingPairs>
  <TitlesOfParts>
    <vt:vector size="1" baseType="lpstr">
      <vt:lpstr>BA - HB00914 (Committee Report (Substituted))</vt:lpstr>
    </vt:vector>
  </TitlesOfParts>
  <Company>State of Texas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25113</dc:subject>
  <dc:creator>State of Texas</dc:creator>
  <dc:description>HB 914 by Thompson, Senfronia-(H)Licensing &amp; Administrative Procedures (Substitute Document Number: 86R 22373)</dc:description>
  <cp:lastModifiedBy>Stacey Nicchio</cp:lastModifiedBy>
  <cp:revision>2</cp:revision>
  <cp:lastPrinted>2019-03-04T17:34:00Z</cp:lastPrinted>
  <dcterms:created xsi:type="dcterms:W3CDTF">2019-04-12T20:07:00Z</dcterms:created>
  <dcterms:modified xsi:type="dcterms:W3CDTF">2019-04-12T20:07:00Z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19.99.355</vt:lpwstr>
  </property>
</Properties>
</file>