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44635" w:rsidTr="00345119">
        <w:tc>
          <w:tcPr>
            <w:tcW w:w="9576" w:type="dxa"/>
            <w:noWrap/>
          </w:tcPr>
          <w:p w:rsidR="008423E4" w:rsidRPr="0022177D" w:rsidRDefault="005858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5865" w:rsidP="008423E4">
      <w:pPr>
        <w:jc w:val="center"/>
      </w:pPr>
    </w:p>
    <w:p w:rsidR="008423E4" w:rsidRPr="00B31F0E" w:rsidRDefault="00585865" w:rsidP="008423E4"/>
    <w:p w:rsidR="008423E4" w:rsidRPr="00742794" w:rsidRDefault="005858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4635" w:rsidTr="00345119">
        <w:tc>
          <w:tcPr>
            <w:tcW w:w="9576" w:type="dxa"/>
          </w:tcPr>
          <w:p w:rsidR="008423E4" w:rsidRPr="00861995" w:rsidRDefault="00585865" w:rsidP="00345119">
            <w:pPr>
              <w:jc w:val="right"/>
            </w:pPr>
            <w:r>
              <w:t>C.S.H.B. 993</w:t>
            </w:r>
          </w:p>
        </w:tc>
      </w:tr>
      <w:tr w:rsidR="00744635" w:rsidTr="00345119">
        <w:tc>
          <w:tcPr>
            <w:tcW w:w="9576" w:type="dxa"/>
          </w:tcPr>
          <w:p w:rsidR="008423E4" w:rsidRPr="00861995" w:rsidRDefault="00585865" w:rsidP="00B03AED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744635" w:rsidTr="00345119">
        <w:tc>
          <w:tcPr>
            <w:tcW w:w="9576" w:type="dxa"/>
          </w:tcPr>
          <w:p w:rsidR="008423E4" w:rsidRPr="00861995" w:rsidRDefault="00585865" w:rsidP="00345119">
            <w:pPr>
              <w:jc w:val="right"/>
            </w:pPr>
            <w:r>
              <w:t>Business &amp; Industry</w:t>
            </w:r>
          </w:p>
        </w:tc>
      </w:tr>
      <w:tr w:rsidR="00744635" w:rsidTr="00345119">
        <w:tc>
          <w:tcPr>
            <w:tcW w:w="9576" w:type="dxa"/>
          </w:tcPr>
          <w:p w:rsidR="008423E4" w:rsidRDefault="0058586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85865" w:rsidP="008423E4">
      <w:pPr>
        <w:tabs>
          <w:tab w:val="right" w:pos="9360"/>
        </w:tabs>
      </w:pPr>
    </w:p>
    <w:p w:rsidR="008423E4" w:rsidRDefault="00585865" w:rsidP="008423E4"/>
    <w:p w:rsidR="008423E4" w:rsidRDefault="005858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44635" w:rsidTr="00345119">
        <w:tc>
          <w:tcPr>
            <w:tcW w:w="9576" w:type="dxa"/>
          </w:tcPr>
          <w:p w:rsidR="008423E4" w:rsidRPr="00A8133F" w:rsidRDefault="00585865" w:rsidP="00EC2A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5865" w:rsidP="00EC2A95"/>
          <w:p w:rsidR="008423E4" w:rsidRDefault="00585865" w:rsidP="00EC2A95">
            <w:pPr>
              <w:pStyle w:val="Header"/>
              <w:jc w:val="both"/>
            </w:pPr>
            <w:r>
              <w:t xml:space="preserve">There are concerns that </w:t>
            </w:r>
            <w:r>
              <w:t>renters</w:t>
            </w:r>
            <w:r>
              <w:t xml:space="preserve"> of dwellings located</w:t>
            </w:r>
            <w:r>
              <w:t xml:space="preserve"> </w:t>
            </w:r>
            <w:r>
              <w:t>in areas susceptible to flooding may be</w:t>
            </w:r>
            <w:r>
              <w:t xml:space="preserve"> </w:t>
            </w:r>
            <w:r>
              <w:t xml:space="preserve">unaware </w:t>
            </w:r>
            <w:r>
              <w:t xml:space="preserve">of </w:t>
            </w:r>
            <w:r>
              <w:t>the risk</w:t>
            </w:r>
            <w:r>
              <w:t xml:space="preserve"> </w:t>
            </w:r>
            <w:r>
              <w:t>of flooding</w:t>
            </w:r>
            <w:r>
              <w:t xml:space="preserve">. </w:t>
            </w:r>
            <w:r w:rsidRPr="006F1353">
              <w:t>C.S.</w:t>
            </w:r>
            <w:r>
              <w:t xml:space="preserve">H.B. 993 seeks to address these concerns by requiring a landlord to </w:t>
            </w:r>
            <w:r>
              <w:t>provide to a</w:t>
            </w:r>
            <w:r>
              <w:t xml:space="preserve"> prospective tenant</w:t>
            </w:r>
            <w:r>
              <w:t xml:space="preserve"> a written notice stating that the dwelling may be in an area designated by </w:t>
            </w:r>
            <w:r>
              <w:t xml:space="preserve">FEMA </w:t>
            </w:r>
            <w:r>
              <w:t>as susceptible to flooding</w:t>
            </w:r>
            <w:r>
              <w:t xml:space="preserve"> and </w:t>
            </w:r>
            <w:r>
              <w:t xml:space="preserve">advising a prospective tenant </w:t>
            </w:r>
            <w:r>
              <w:t>to seek app</w:t>
            </w:r>
            <w:r>
              <w:t xml:space="preserve">ropriate insurance coverage that covers losses caused by </w:t>
            </w:r>
            <w:r>
              <w:t>flooding</w:t>
            </w:r>
            <w:r>
              <w:t>.</w:t>
            </w:r>
          </w:p>
          <w:p w:rsidR="008423E4" w:rsidRPr="00E26B13" w:rsidRDefault="00585865" w:rsidP="00EC2A95">
            <w:pPr>
              <w:rPr>
                <w:b/>
              </w:rPr>
            </w:pPr>
          </w:p>
        </w:tc>
      </w:tr>
      <w:tr w:rsidR="00744635" w:rsidTr="00345119">
        <w:tc>
          <w:tcPr>
            <w:tcW w:w="9576" w:type="dxa"/>
          </w:tcPr>
          <w:p w:rsidR="0017725B" w:rsidRDefault="00585865" w:rsidP="00EC2A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85865" w:rsidP="00EC2A95">
            <w:pPr>
              <w:rPr>
                <w:b/>
                <w:u w:val="single"/>
              </w:rPr>
            </w:pPr>
          </w:p>
          <w:p w:rsidR="00B6638D" w:rsidRPr="00B6638D" w:rsidRDefault="00585865" w:rsidP="00EC2A95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:rsidR="0017725B" w:rsidRPr="0017725B" w:rsidRDefault="00585865" w:rsidP="00EC2A95">
            <w:pPr>
              <w:rPr>
                <w:b/>
                <w:u w:val="single"/>
              </w:rPr>
            </w:pPr>
          </w:p>
        </w:tc>
      </w:tr>
      <w:tr w:rsidR="00744635" w:rsidTr="00345119">
        <w:tc>
          <w:tcPr>
            <w:tcW w:w="9576" w:type="dxa"/>
          </w:tcPr>
          <w:p w:rsidR="008423E4" w:rsidRPr="00A8133F" w:rsidRDefault="00585865" w:rsidP="00EC2A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5865" w:rsidP="00EC2A95"/>
          <w:p w:rsidR="00B6638D" w:rsidRDefault="00585865" w:rsidP="00EC2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16095A" w:rsidRPr="00CC7F32" w:rsidRDefault="00585865" w:rsidP="00EC2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44635" w:rsidTr="00345119">
        <w:tc>
          <w:tcPr>
            <w:tcW w:w="9576" w:type="dxa"/>
          </w:tcPr>
          <w:p w:rsidR="008423E4" w:rsidRPr="00A8133F" w:rsidRDefault="00585865" w:rsidP="00EC2A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5865" w:rsidP="00EC2A95"/>
          <w:p w:rsidR="00D317A5" w:rsidRDefault="00585865" w:rsidP="00EC2A95">
            <w:pPr>
              <w:pStyle w:val="Header"/>
              <w:jc w:val="both"/>
            </w:pPr>
            <w:r w:rsidRPr="006F1353">
              <w:t>C.S.</w:t>
            </w:r>
            <w:r>
              <w:t>H.B. 993</w:t>
            </w:r>
            <w:r w:rsidRPr="00E90C14">
              <w:t xml:space="preserve"> </w:t>
            </w:r>
            <w:r>
              <w:t>amends the Property Code to require a landlord to provide to a residential tenant a written notice</w:t>
            </w:r>
            <w:r>
              <w:t xml:space="preserve"> containing a statement substantially equivalent to a statement set out in the bill reg</w:t>
            </w:r>
            <w:r>
              <w:t xml:space="preserve">arding the possibility that </w:t>
            </w:r>
            <w:r>
              <w:t xml:space="preserve">the </w:t>
            </w:r>
            <w:r>
              <w:t xml:space="preserve">applicable </w:t>
            </w:r>
            <w:r>
              <w:t>dwelling may be located in a</w:t>
            </w:r>
            <w:r>
              <w:t xml:space="preserve">n area designated by </w:t>
            </w:r>
            <w:r w:rsidRPr="00DF761D">
              <w:t>FEMA</w:t>
            </w:r>
            <w:r>
              <w:t xml:space="preserve"> </w:t>
            </w:r>
            <w:r>
              <w:t>as susceptible to flooding</w:t>
            </w:r>
            <w:r>
              <w:t>, regarding FEMA's flood map service center,</w:t>
            </w:r>
            <w:r>
              <w:t xml:space="preserve"> and regarding insurance </w:t>
            </w:r>
            <w:r>
              <w:t xml:space="preserve">policies and appropriate insurance </w:t>
            </w:r>
            <w:r>
              <w:t>coverage.</w:t>
            </w:r>
            <w:r>
              <w:t xml:space="preserve"> </w:t>
            </w:r>
            <w:r>
              <w:t>The bill requires t</w:t>
            </w:r>
            <w:r>
              <w:t xml:space="preserve">he notice to be included in a written lease and printed in underlined or boldface type or </w:t>
            </w:r>
            <w:r>
              <w:t xml:space="preserve">to be </w:t>
            </w:r>
            <w:r>
              <w:t>included in</w:t>
            </w:r>
            <w:r>
              <w:t xml:space="preserve"> a separate written document given to the tenant before the execution of the lease. The bill </w:t>
            </w:r>
            <w:r w:rsidRPr="00E90C14">
              <w:t xml:space="preserve">authorizes </w:t>
            </w:r>
            <w:r>
              <w:t>a</w:t>
            </w:r>
            <w:r w:rsidRPr="00E90C14">
              <w:t xml:space="preserve"> </w:t>
            </w:r>
            <w:r w:rsidRPr="00E90C14">
              <w:t>tenant</w:t>
            </w:r>
            <w:r>
              <w:t xml:space="preserve">, if the landlord </w:t>
            </w:r>
            <w:r w:rsidRPr="00E90C14">
              <w:t xml:space="preserve">violates </w:t>
            </w:r>
            <w:r>
              <w:t>the notice</w:t>
            </w:r>
            <w:r>
              <w:t xml:space="preserve"> requirement</w:t>
            </w:r>
            <w:r w:rsidRPr="00E90C14">
              <w:t xml:space="preserve"> and the tenant suffers loss or damage to </w:t>
            </w:r>
            <w:r>
              <w:t xml:space="preserve">the tenant's </w:t>
            </w:r>
            <w:r w:rsidRPr="00E90C14">
              <w:t xml:space="preserve">personal </w:t>
            </w:r>
            <w:r>
              <w:t>property as a result of flood,</w:t>
            </w:r>
            <w:r>
              <w:t xml:space="preserve"> </w:t>
            </w:r>
            <w:r w:rsidRPr="00E90C14">
              <w:t>t</w:t>
            </w:r>
            <w:r>
              <w:t xml:space="preserve">o terminate the lease </w:t>
            </w:r>
            <w:r>
              <w:t xml:space="preserve">by providing written notice of termination to the landlord. </w:t>
            </w:r>
          </w:p>
          <w:p w:rsidR="008423E4" w:rsidRPr="00835628" w:rsidRDefault="00585865" w:rsidP="00EC2A95">
            <w:pPr>
              <w:pStyle w:val="Header"/>
              <w:jc w:val="both"/>
            </w:pPr>
          </w:p>
        </w:tc>
      </w:tr>
      <w:tr w:rsidR="00744635" w:rsidTr="00345119">
        <w:tc>
          <w:tcPr>
            <w:tcW w:w="9576" w:type="dxa"/>
          </w:tcPr>
          <w:p w:rsidR="008423E4" w:rsidRPr="00A8133F" w:rsidRDefault="00585865" w:rsidP="00EC2A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5865" w:rsidP="00EC2A95"/>
          <w:p w:rsidR="008423E4" w:rsidRDefault="00585865" w:rsidP="00EC2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3A50BA" w:rsidRPr="00233FDB" w:rsidRDefault="00585865" w:rsidP="00EC2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44635" w:rsidTr="00345119">
        <w:tc>
          <w:tcPr>
            <w:tcW w:w="9576" w:type="dxa"/>
          </w:tcPr>
          <w:p w:rsidR="00B03AED" w:rsidRDefault="00585865" w:rsidP="00EC2A9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2C1CB0" w:rsidRDefault="00585865" w:rsidP="00EC2A95">
            <w:pPr>
              <w:jc w:val="both"/>
            </w:pPr>
          </w:p>
          <w:p w:rsidR="002C1CB0" w:rsidRDefault="00585865" w:rsidP="00EC2A95">
            <w:pPr>
              <w:jc w:val="both"/>
            </w:pPr>
            <w:r>
              <w:t>While C.S.H.B. 993 may differ from the original in minor or nonsubstantive ways, the following summarizes the substantial differences between the introduced and committee substitute versions of the bill.</w:t>
            </w:r>
          </w:p>
          <w:p w:rsidR="00C610D9" w:rsidRDefault="00585865" w:rsidP="00EC2A95">
            <w:pPr>
              <w:jc w:val="both"/>
            </w:pPr>
          </w:p>
          <w:p w:rsidR="00C610D9" w:rsidRDefault="00585865" w:rsidP="00EC2A95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does not</w:t>
            </w:r>
            <w:r>
              <w:t xml:space="preserve"> include a</w:t>
            </w:r>
            <w:r>
              <w:t xml:space="preserve">ny provisions </w:t>
            </w:r>
            <w:r>
              <w:t>limiting</w:t>
            </w:r>
            <w:r>
              <w:t xml:space="preserve"> </w:t>
            </w:r>
            <w:r>
              <w:t xml:space="preserve">applicability of the </w:t>
            </w:r>
            <w:r>
              <w:t xml:space="preserve">notice </w:t>
            </w:r>
            <w:r>
              <w:t xml:space="preserve">provisions to </w:t>
            </w:r>
            <w:r>
              <w:t xml:space="preserve">a dwelling that is located in a floodplain or that has been </w:t>
            </w:r>
            <w:r>
              <w:t>damaged by flooding due to rainfall or storm surge during the 20 years preceding the date of the lease</w:t>
            </w:r>
            <w:r>
              <w:t xml:space="preserve">. </w:t>
            </w:r>
            <w:r>
              <w:t>The substitute</w:t>
            </w:r>
            <w:r>
              <w:t xml:space="preserve"> </w:t>
            </w:r>
            <w:r>
              <w:t xml:space="preserve">includes </w:t>
            </w:r>
            <w:r>
              <w:t>not</w:t>
            </w:r>
            <w:r>
              <w:t xml:space="preserve">ice </w:t>
            </w:r>
            <w:r>
              <w:t>provision</w:t>
            </w:r>
            <w:r>
              <w:t>s</w:t>
            </w:r>
            <w:r>
              <w:t xml:space="preserve">, </w:t>
            </w:r>
            <w:r>
              <w:t>applicable to all dwellings</w:t>
            </w:r>
            <w:r>
              <w:t xml:space="preserve"> instead</w:t>
            </w:r>
            <w:r>
              <w:t>, that</w:t>
            </w:r>
            <w:r>
              <w:t xml:space="preserve"> </w:t>
            </w:r>
            <w:r>
              <w:t>require</w:t>
            </w:r>
            <w:r>
              <w:t xml:space="preserve"> </w:t>
            </w:r>
            <w:r>
              <w:t xml:space="preserve">a landlord to provide </w:t>
            </w:r>
            <w:r>
              <w:t xml:space="preserve">to a prospective tenant, in a written lease or as a separate written document before execution of the lease, </w:t>
            </w:r>
            <w:r>
              <w:t xml:space="preserve">certain </w:t>
            </w:r>
            <w:r>
              <w:t xml:space="preserve">notice </w:t>
            </w:r>
            <w:r>
              <w:t xml:space="preserve">regarding the possibility of the dwelling's </w:t>
            </w:r>
            <w:r>
              <w:t>location in an area of land designated by FEMA as susceptible to flooding</w:t>
            </w:r>
            <w:r>
              <w:t xml:space="preserve"> and regarding </w:t>
            </w:r>
            <w:r>
              <w:t>flood insurance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2C1CB0" w:rsidRDefault="00585865" w:rsidP="00EC2A95">
            <w:pPr>
              <w:jc w:val="both"/>
            </w:pPr>
          </w:p>
          <w:p w:rsidR="00F5021C" w:rsidRDefault="00585865" w:rsidP="00EC2A95">
            <w:pPr>
              <w:jc w:val="both"/>
            </w:pPr>
            <w:r>
              <w:t xml:space="preserve">The substitute </w:t>
            </w:r>
            <w:r>
              <w:t>includes a</w:t>
            </w:r>
            <w:r>
              <w:t xml:space="preserve">n authorization </w:t>
            </w:r>
            <w:r>
              <w:t>for a tenant to provide written</w:t>
            </w:r>
            <w:r>
              <w:t xml:space="preserve"> notice of</w:t>
            </w:r>
            <w:r>
              <w:t xml:space="preserve"> termination of a lease</w:t>
            </w:r>
            <w:r>
              <w:t xml:space="preserve"> if the landlord violates the notice requirements and the tenant suffers loss or damage as a result of flood. </w:t>
            </w:r>
            <w:r>
              <w:t>The substitute does not include</w:t>
            </w:r>
            <w:r>
              <w:t xml:space="preserve"> </w:t>
            </w:r>
            <w:r>
              <w:t>a</w:t>
            </w:r>
            <w:r>
              <w:t>n</w:t>
            </w:r>
            <w:r>
              <w:t xml:space="preserve"> </w:t>
            </w:r>
            <w:r>
              <w:t>authorization</w:t>
            </w:r>
            <w:r>
              <w:t xml:space="preserve"> </w:t>
            </w:r>
            <w:r>
              <w:t xml:space="preserve">for the tenant, as an alternative to terminating a lease under those conditions, to </w:t>
            </w:r>
            <w:r>
              <w:t>maintain poss</w:t>
            </w:r>
            <w:r>
              <w:t xml:space="preserve">ession of the premises under the terms of the lease and </w:t>
            </w:r>
            <w:r>
              <w:t xml:space="preserve">to </w:t>
            </w:r>
            <w:r>
              <w:t xml:space="preserve">recover </w:t>
            </w:r>
            <w:r>
              <w:t xml:space="preserve">certain </w:t>
            </w:r>
            <w:r>
              <w:t xml:space="preserve">cash </w:t>
            </w:r>
            <w:r>
              <w:t>amounts</w:t>
            </w:r>
            <w:r>
              <w:t xml:space="preserve">. The substitute </w:t>
            </w:r>
            <w:r>
              <w:t xml:space="preserve">does not include </w:t>
            </w:r>
            <w:r>
              <w:t>a certain defense to liability for a landlord or landlord's agent</w:t>
            </w:r>
            <w:r>
              <w:t>.</w:t>
            </w:r>
          </w:p>
          <w:p w:rsidR="002C1CB0" w:rsidRPr="002C1CB0" w:rsidRDefault="00585865" w:rsidP="00EC2A95">
            <w:pPr>
              <w:jc w:val="both"/>
            </w:pPr>
          </w:p>
        </w:tc>
      </w:tr>
      <w:tr w:rsidR="00744635" w:rsidTr="00345119">
        <w:tc>
          <w:tcPr>
            <w:tcW w:w="9576" w:type="dxa"/>
          </w:tcPr>
          <w:p w:rsidR="00B03AED" w:rsidRPr="009C1E9A" w:rsidRDefault="00585865" w:rsidP="00EC2A95">
            <w:pPr>
              <w:rPr>
                <w:b/>
                <w:u w:val="single"/>
              </w:rPr>
            </w:pPr>
          </w:p>
        </w:tc>
      </w:tr>
      <w:tr w:rsidR="00744635" w:rsidTr="00345119">
        <w:tc>
          <w:tcPr>
            <w:tcW w:w="9576" w:type="dxa"/>
          </w:tcPr>
          <w:p w:rsidR="00B03AED" w:rsidRPr="00B03AED" w:rsidRDefault="00585865" w:rsidP="00EC2A95">
            <w:pPr>
              <w:jc w:val="both"/>
            </w:pPr>
          </w:p>
        </w:tc>
      </w:tr>
    </w:tbl>
    <w:p w:rsidR="004108C3" w:rsidRPr="008423E4" w:rsidRDefault="0058586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5865">
      <w:r>
        <w:separator/>
      </w:r>
    </w:p>
  </w:endnote>
  <w:endnote w:type="continuationSeparator" w:id="0">
    <w:p w:rsidR="00000000" w:rsidRDefault="0058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4635" w:rsidTr="009C1E9A">
      <w:trPr>
        <w:cantSplit/>
      </w:trPr>
      <w:tc>
        <w:tcPr>
          <w:tcW w:w="0" w:type="pct"/>
        </w:tcPr>
        <w:p w:rsidR="00137D90" w:rsidRDefault="005858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58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58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58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58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4635" w:rsidTr="009C1E9A">
      <w:trPr>
        <w:cantSplit/>
      </w:trPr>
      <w:tc>
        <w:tcPr>
          <w:tcW w:w="0" w:type="pct"/>
        </w:tcPr>
        <w:p w:rsidR="00EC379B" w:rsidRDefault="005858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58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27895</w:t>
          </w:r>
        </w:p>
      </w:tc>
      <w:tc>
        <w:tcPr>
          <w:tcW w:w="2453" w:type="pct"/>
        </w:tcPr>
        <w:p w:rsidR="00EC379B" w:rsidRDefault="005858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19.107.650</w:t>
          </w:r>
          <w:r>
            <w:fldChar w:fldCharType="end"/>
          </w:r>
        </w:p>
      </w:tc>
    </w:tr>
    <w:tr w:rsidR="00744635" w:rsidTr="009C1E9A">
      <w:trPr>
        <w:cantSplit/>
      </w:trPr>
      <w:tc>
        <w:tcPr>
          <w:tcW w:w="0" w:type="pct"/>
        </w:tcPr>
        <w:p w:rsidR="00EC379B" w:rsidRDefault="005858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58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23878</w:t>
          </w:r>
        </w:p>
      </w:tc>
      <w:tc>
        <w:tcPr>
          <w:tcW w:w="2453" w:type="pct"/>
        </w:tcPr>
        <w:p w:rsidR="00EC379B" w:rsidRDefault="00585865" w:rsidP="006D504F">
          <w:pPr>
            <w:pStyle w:val="Footer"/>
            <w:rPr>
              <w:rStyle w:val="PageNumber"/>
            </w:rPr>
          </w:pPr>
        </w:p>
        <w:p w:rsidR="00EC379B" w:rsidRDefault="005858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46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58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858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58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5865">
      <w:r>
        <w:separator/>
      </w:r>
    </w:p>
  </w:footnote>
  <w:footnote w:type="continuationSeparator" w:id="0">
    <w:p w:rsidR="00000000" w:rsidRDefault="0058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5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A69"/>
    <w:multiLevelType w:val="hybridMultilevel"/>
    <w:tmpl w:val="BC464F3A"/>
    <w:lvl w:ilvl="0" w:tplc="027CC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49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22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C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E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26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9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7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40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2E0"/>
    <w:multiLevelType w:val="hybridMultilevel"/>
    <w:tmpl w:val="E7C881B6"/>
    <w:lvl w:ilvl="0" w:tplc="8CD64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4D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46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D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EE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25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D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6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82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5"/>
    <w:rsid w:val="00585865"/>
    <w:rsid w:val="007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C9DBAC-0F76-4106-9AC8-9050875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E90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0C14"/>
  </w:style>
  <w:style w:type="character" w:styleId="CommentReference">
    <w:name w:val="annotation reference"/>
    <w:basedOn w:val="DefaultParagraphFont"/>
    <w:semiHidden/>
    <w:unhideWhenUsed/>
    <w:rsid w:val="00E90C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1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7A5"/>
    <w:rPr>
      <w:b/>
      <w:bCs/>
    </w:rPr>
  </w:style>
  <w:style w:type="paragraph" w:styleId="Revision">
    <w:name w:val="Revision"/>
    <w:hidden/>
    <w:uiPriority w:val="99"/>
    <w:semiHidden/>
    <w:rsid w:val="007F45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2886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HB00993 (Committee Report (Substituted))</vt:lpstr>
    </vt:vector>
  </TitlesOfParts>
  <Company>State of Texas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27895</dc:subject>
  <dc:creator>State of Texas</dc:creator>
  <dc:description>HB 993 by Coleman-(H)Business &amp; Industry (Substitute Document Number: 86R 23878)</dc:description>
  <cp:lastModifiedBy>Laura Ramsay</cp:lastModifiedBy>
  <cp:revision>2</cp:revision>
  <cp:lastPrinted>2003-11-26T17:21:00Z</cp:lastPrinted>
  <dcterms:created xsi:type="dcterms:W3CDTF">2019-04-27T02:12:00Z</dcterms:created>
  <dcterms:modified xsi:type="dcterms:W3CDTF">2019-04-27T02:12:00Z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19.107.650</vt:lpwstr>
  </property>
</Properties>
</file>