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3882" w:rsidTr="00345119">
        <w:tc>
          <w:tcPr>
            <w:tcW w:w="9576" w:type="dxa"/>
            <w:noWrap/>
          </w:tcPr>
          <w:p w:rsidR="008423E4" w:rsidRPr="0022177D" w:rsidRDefault="00DE32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3208" w:rsidP="008423E4">
      <w:pPr>
        <w:jc w:val="center"/>
      </w:pPr>
    </w:p>
    <w:p w:rsidR="008423E4" w:rsidRPr="00B31F0E" w:rsidRDefault="00DE3208" w:rsidP="008423E4"/>
    <w:p w:rsidR="008423E4" w:rsidRPr="00742794" w:rsidRDefault="00DE32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3882" w:rsidTr="00345119">
        <w:tc>
          <w:tcPr>
            <w:tcW w:w="9576" w:type="dxa"/>
          </w:tcPr>
          <w:p w:rsidR="008423E4" w:rsidRPr="00861995" w:rsidRDefault="00DE3208" w:rsidP="00345119">
            <w:pPr>
              <w:jc w:val="right"/>
            </w:pPr>
            <w:r>
              <w:t>C.S.H.B. 994</w:t>
            </w:r>
          </w:p>
        </w:tc>
      </w:tr>
      <w:tr w:rsidR="00CE3882" w:rsidTr="00345119">
        <w:tc>
          <w:tcPr>
            <w:tcW w:w="9576" w:type="dxa"/>
          </w:tcPr>
          <w:p w:rsidR="008423E4" w:rsidRPr="00861995" w:rsidRDefault="00DE3208" w:rsidP="00CC1263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CE3882" w:rsidTr="00345119">
        <w:tc>
          <w:tcPr>
            <w:tcW w:w="9576" w:type="dxa"/>
          </w:tcPr>
          <w:p w:rsidR="008423E4" w:rsidRPr="00861995" w:rsidRDefault="00DE3208" w:rsidP="00345119">
            <w:pPr>
              <w:jc w:val="right"/>
            </w:pPr>
            <w:r>
              <w:t>Ways &amp; Means</w:t>
            </w:r>
          </w:p>
        </w:tc>
      </w:tr>
      <w:tr w:rsidR="00CE3882" w:rsidTr="00345119">
        <w:tc>
          <w:tcPr>
            <w:tcW w:w="9576" w:type="dxa"/>
          </w:tcPr>
          <w:p w:rsidR="008423E4" w:rsidRDefault="00DE320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E3208" w:rsidP="008423E4">
      <w:pPr>
        <w:tabs>
          <w:tab w:val="right" w:pos="9360"/>
        </w:tabs>
      </w:pPr>
    </w:p>
    <w:p w:rsidR="008423E4" w:rsidRDefault="00DE3208" w:rsidP="008423E4"/>
    <w:p w:rsidR="008423E4" w:rsidRDefault="00DE32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3882" w:rsidTr="00345119">
        <w:tc>
          <w:tcPr>
            <w:tcW w:w="9576" w:type="dxa"/>
          </w:tcPr>
          <w:p w:rsidR="008423E4" w:rsidRPr="00A8133F" w:rsidRDefault="00DE3208" w:rsidP="001D21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3208" w:rsidP="001D21C6"/>
          <w:p w:rsidR="008423E4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current process to appeal a property tax determination</w:t>
            </w:r>
            <w:r>
              <w:t xml:space="preserve"> </w:t>
            </w:r>
            <w:r>
              <w:t>in</w:t>
            </w:r>
            <w:r>
              <w:t xml:space="preserve"> a district court</w:t>
            </w:r>
            <w:r>
              <w:t xml:space="preserve"> </w:t>
            </w:r>
            <w:r>
              <w:t>can be time-consuming</w:t>
            </w:r>
            <w:r>
              <w:t xml:space="preserve">. </w:t>
            </w:r>
            <w:r>
              <w:t>C.S.</w:t>
            </w:r>
            <w:r w:rsidRPr="006A7239">
              <w:t>H</w:t>
            </w:r>
            <w:r>
              <w:t>.</w:t>
            </w:r>
            <w:r w:rsidRPr="006A7239">
              <w:t>B</w:t>
            </w:r>
            <w:r>
              <w:t>.</w:t>
            </w:r>
            <w:r w:rsidRPr="006A7239">
              <w:t xml:space="preserve"> 994 </w:t>
            </w:r>
            <w:r>
              <w:t xml:space="preserve">seeks to address this issue by providing </w:t>
            </w:r>
            <w:r>
              <w:t xml:space="preserve">temporary </w:t>
            </w:r>
            <w:r>
              <w:t xml:space="preserve">alternative </w:t>
            </w:r>
            <w:r>
              <w:t xml:space="preserve">appeal </w:t>
            </w:r>
            <w:r>
              <w:t xml:space="preserve">procedures </w:t>
            </w:r>
            <w:r>
              <w:t xml:space="preserve">for certain property </w:t>
            </w:r>
            <w:r>
              <w:t>that would allow</w:t>
            </w:r>
            <w:r>
              <w:t xml:space="preserve"> </w:t>
            </w:r>
            <w:r>
              <w:t xml:space="preserve">some </w:t>
            </w:r>
            <w:r>
              <w:t>appeal</w:t>
            </w:r>
            <w:r>
              <w:t>s</w:t>
            </w:r>
            <w:r>
              <w:t xml:space="preserve"> to be brought</w:t>
            </w:r>
            <w:r>
              <w:t xml:space="preserve"> in a justice court</w:t>
            </w:r>
            <w:r>
              <w:t xml:space="preserve"> in </w:t>
            </w:r>
            <w:r>
              <w:t>a county described by the bill and by providing for a study of these temporary pro</w:t>
            </w:r>
            <w:r>
              <w:t xml:space="preserve">cedures by the </w:t>
            </w:r>
            <w:r w:rsidRPr="0053710D">
              <w:t>Office of Court Administration of the Texas Judicial System</w:t>
            </w:r>
            <w:r w:rsidRPr="006A7239">
              <w:t xml:space="preserve">.  </w:t>
            </w:r>
          </w:p>
          <w:p w:rsidR="008423E4" w:rsidRPr="00E26B13" w:rsidRDefault="00DE3208" w:rsidP="001D21C6">
            <w:pPr>
              <w:rPr>
                <w:b/>
              </w:rPr>
            </w:pPr>
          </w:p>
        </w:tc>
      </w:tr>
      <w:tr w:rsidR="00CE3882" w:rsidTr="00345119">
        <w:tc>
          <w:tcPr>
            <w:tcW w:w="9576" w:type="dxa"/>
          </w:tcPr>
          <w:p w:rsidR="0017725B" w:rsidRDefault="00DE3208" w:rsidP="001D21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3208" w:rsidP="001D21C6">
            <w:pPr>
              <w:rPr>
                <w:b/>
                <w:u w:val="single"/>
              </w:rPr>
            </w:pPr>
          </w:p>
          <w:p w:rsidR="00736177" w:rsidRPr="00736177" w:rsidRDefault="00DE3208" w:rsidP="001D21C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DE3208" w:rsidP="001D21C6">
            <w:pPr>
              <w:rPr>
                <w:b/>
                <w:u w:val="single"/>
              </w:rPr>
            </w:pPr>
          </w:p>
        </w:tc>
      </w:tr>
      <w:tr w:rsidR="00CE3882" w:rsidTr="00345119">
        <w:tc>
          <w:tcPr>
            <w:tcW w:w="9576" w:type="dxa"/>
          </w:tcPr>
          <w:p w:rsidR="008423E4" w:rsidRPr="00A8133F" w:rsidRDefault="00DE3208" w:rsidP="001D21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3208" w:rsidP="001D21C6"/>
          <w:p w:rsidR="00736177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DE3208" w:rsidP="001D21C6">
            <w:pPr>
              <w:rPr>
                <w:b/>
              </w:rPr>
            </w:pPr>
          </w:p>
        </w:tc>
      </w:tr>
      <w:tr w:rsidR="00CE3882" w:rsidTr="00345119">
        <w:tc>
          <w:tcPr>
            <w:tcW w:w="9576" w:type="dxa"/>
          </w:tcPr>
          <w:p w:rsidR="008423E4" w:rsidRPr="00A8133F" w:rsidRDefault="00DE3208" w:rsidP="001D21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3208" w:rsidP="001D21C6"/>
          <w:p w:rsidR="008E7452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994 </w:t>
            </w:r>
            <w:r>
              <w:t xml:space="preserve">amends the Tax Code to </w:t>
            </w:r>
            <w:r w:rsidRPr="00111816">
              <w:t>authorize a property owner</w:t>
            </w:r>
            <w:r>
              <w:t xml:space="preserve">, as an alternative to bringing an appeal of an appraisal review board </w:t>
            </w:r>
            <w:r>
              <w:t xml:space="preserve">order </w:t>
            </w:r>
            <w:r>
              <w:t>regarding certain protests and determinations</w:t>
            </w:r>
            <w:r>
              <w:t xml:space="preserve"> to a district court</w:t>
            </w:r>
            <w:r>
              <w:t xml:space="preserve">, </w:t>
            </w:r>
            <w:r w:rsidRPr="00111816">
              <w:t xml:space="preserve">to bring </w:t>
            </w:r>
            <w:r>
              <w:t>the</w:t>
            </w:r>
            <w:r w:rsidRPr="00111816">
              <w:t xml:space="preserve"> </w:t>
            </w:r>
            <w:r w:rsidRPr="00111816">
              <w:t>appeal to a justice court if</w:t>
            </w:r>
            <w:r>
              <w:t>:</w:t>
            </w:r>
          </w:p>
          <w:p w:rsidR="008E7452" w:rsidRDefault="00DE3208" w:rsidP="001D21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11816">
              <w:t xml:space="preserve">the appeal relates only to a </w:t>
            </w:r>
            <w:r w:rsidRPr="00A931AD">
              <w:t>claim of excessive appraisal of property that qualifies as the owner's residence homestead</w:t>
            </w:r>
            <w:r>
              <w:t>;</w:t>
            </w:r>
            <w:r w:rsidRPr="00111816">
              <w:t xml:space="preserve"> and</w:t>
            </w:r>
            <w:r>
              <w:t xml:space="preserve"> </w:t>
            </w:r>
          </w:p>
          <w:p w:rsidR="008E7452" w:rsidRDefault="00DE3208" w:rsidP="001D21C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if</w:t>
            </w:r>
            <w:r w:rsidRPr="00111816">
              <w:t xml:space="preserve"> the </w:t>
            </w:r>
            <w:r>
              <w:t>appraised</w:t>
            </w:r>
            <w:r w:rsidRPr="00111816">
              <w:t xml:space="preserve"> value of the property </w:t>
            </w:r>
            <w:r w:rsidRPr="00A931AD">
              <w:t>as determined by the appra</w:t>
            </w:r>
            <w:r w:rsidRPr="00A931AD">
              <w:t>isal review board and stated in the order being appealed</w:t>
            </w:r>
            <w:r w:rsidRPr="00111816">
              <w:t xml:space="preserve"> is </w:t>
            </w:r>
            <w:r>
              <w:t>$500,000</w:t>
            </w:r>
            <w:r w:rsidRPr="00111816">
              <w:t xml:space="preserve"> or less. </w:t>
            </w:r>
          </w:p>
          <w:p w:rsidR="008E7452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E7452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994</w:t>
            </w:r>
            <w:r w:rsidRPr="00111816">
              <w:t xml:space="preserve"> limits this </w:t>
            </w:r>
            <w:r>
              <w:t>option</w:t>
            </w:r>
            <w:r w:rsidRPr="00111816">
              <w:t xml:space="preserve"> </w:t>
            </w:r>
            <w:r w:rsidRPr="00111816">
              <w:t xml:space="preserve">to an appeal of an order issued by an appraisal review board that is located in a county that has a population of less than 45,500, that shares a border with a county that has a population of 1.5 million or more and is within 200 miles of an international </w:t>
            </w:r>
            <w:r w:rsidRPr="00111816">
              <w:t xml:space="preserve">border, and through which the Atascosa River flows. </w:t>
            </w:r>
            <w:r>
              <w:t>The bill, with respect to such appeals:</w:t>
            </w:r>
          </w:p>
          <w:p w:rsidR="00FC2301" w:rsidRDefault="00DE3208" w:rsidP="001D21C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establishes that v</w:t>
            </w:r>
            <w:r w:rsidRPr="00111816">
              <w:t>enue of such an action</w:t>
            </w:r>
            <w:r>
              <w:t xml:space="preserve"> is</w:t>
            </w:r>
            <w:r w:rsidRPr="00111816">
              <w:t xml:space="preserve"> </w:t>
            </w:r>
            <w:r>
              <w:t xml:space="preserve">in </w:t>
            </w:r>
            <w:r w:rsidRPr="00111816">
              <w:t xml:space="preserve">any </w:t>
            </w:r>
            <w:r w:rsidRPr="003B6280">
              <w:t>justice precinct</w:t>
            </w:r>
            <w:r w:rsidRPr="00111816">
              <w:t xml:space="preserve"> in which the property that is the subject of the order being appealed is located</w:t>
            </w:r>
            <w:r>
              <w:t>;</w:t>
            </w:r>
          </w:p>
          <w:p w:rsidR="00FC2301" w:rsidRDefault="00DE3208" w:rsidP="001D21C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11816">
              <w:t>requires the j</w:t>
            </w:r>
            <w:r w:rsidRPr="00111816">
              <w:t>ustice court</w:t>
            </w:r>
            <w:r>
              <w:t xml:space="preserve"> to dismiss the appeal</w:t>
            </w:r>
            <w:r w:rsidRPr="00111816">
              <w:t xml:space="preserve"> if the court determines that the court does not have jurisdiction of the appeal</w:t>
            </w:r>
            <w:r>
              <w:t>;</w:t>
            </w:r>
            <w:r w:rsidRPr="00111816">
              <w:t xml:space="preserve"> </w:t>
            </w:r>
          </w:p>
          <w:p w:rsidR="00B75F00" w:rsidRDefault="00DE3208" w:rsidP="001D21C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11816">
              <w:t>authorizes the property owner</w:t>
            </w:r>
            <w:r>
              <w:t>,</w:t>
            </w:r>
            <w:r w:rsidRPr="00111816">
              <w:t xml:space="preserve"> in </w:t>
            </w:r>
            <w:r w:rsidRPr="00111816">
              <w:t>th</w:t>
            </w:r>
            <w:r>
              <w:t>e</w:t>
            </w:r>
            <w:r w:rsidRPr="00111816">
              <w:t xml:space="preserve"> </w:t>
            </w:r>
            <w:r w:rsidRPr="00111816">
              <w:t>event</w:t>
            </w:r>
            <w:r>
              <w:t xml:space="preserve"> the appeal is so dismissed</w:t>
            </w:r>
            <w:r>
              <w:t>,</w:t>
            </w:r>
            <w:r w:rsidRPr="00111816">
              <w:t xml:space="preserve"> to appeal the order to a district court by filing a petition for re</w:t>
            </w:r>
            <w:r w:rsidRPr="00111816">
              <w:t>view with the district court not later than the 30th day after the date of the dismissal</w:t>
            </w:r>
            <w:r>
              <w:t>;</w:t>
            </w:r>
            <w:r w:rsidRPr="00111816">
              <w:t xml:space="preserve"> </w:t>
            </w:r>
          </w:p>
          <w:p w:rsidR="00B75F00" w:rsidRDefault="00DE3208" w:rsidP="001D21C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11816">
              <w:t xml:space="preserve">establishes that certain </w:t>
            </w:r>
            <w:r>
              <w:t xml:space="preserve">specified </w:t>
            </w:r>
            <w:r w:rsidRPr="00111816">
              <w:t xml:space="preserve">statutory provisions </w:t>
            </w:r>
            <w:r>
              <w:t xml:space="preserve">governing the review </w:t>
            </w:r>
            <w:r>
              <w:t xml:space="preserve">of a property owner appeal by a district court </w:t>
            </w:r>
            <w:r w:rsidRPr="00111816">
              <w:t>apply to an appeal</w:t>
            </w:r>
            <w:r>
              <w:t xml:space="preserve"> of an appraisal review</w:t>
            </w:r>
            <w:r>
              <w:t xml:space="preserve"> board</w:t>
            </w:r>
            <w:r>
              <w:t xml:space="preserve"> order</w:t>
            </w:r>
            <w:r>
              <w:t xml:space="preserve"> regarding certain protests and determinations brought </w:t>
            </w:r>
            <w:r w:rsidRPr="00111816">
              <w:t xml:space="preserve">to a justice court in the same manner as those </w:t>
            </w:r>
            <w:r>
              <w:t>statutory provisions</w:t>
            </w:r>
            <w:r w:rsidRPr="00111816">
              <w:t xml:space="preserve"> apply to </w:t>
            </w:r>
            <w:r>
              <w:t xml:space="preserve">such </w:t>
            </w:r>
            <w:r w:rsidRPr="00111816">
              <w:t>an appeal</w:t>
            </w:r>
            <w:r>
              <w:t xml:space="preserve"> brought</w:t>
            </w:r>
            <w:r w:rsidRPr="00111816">
              <w:t xml:space="preserve"> to a district court</w:t>
            </w:r>
            <w:r>
              <w:t>; and</w:t>
            </w:r>
          </w:p>
          <w:p w:rsidR="00FC2301" w:rsidRDefault="00DE3208" w:rsidP="001D21C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11816">
              <w:t>authorizes an appraisal district to be represented by legal coun</w:t>
            </w:r>
            <w:r w:rsidRPr="00111816">
              <w:t>sel in such an appeal</w:t>
            </w:r>
            <w:r>
              <w:t xml:space="preserve"> </w:t>
            </w:r>
            <w:r>
              <w:t>brought to a justice court</w:t>
            </w:r>
            <w:r>
              <w:t xml:space="preserve"> but specifies that the district is not required to be so represented.</w:t>
            </w:r>
          </w:p>
          <w:p w:rsidR="00FC2301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11816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994 establishes that its</w:t>
            </w:r>
            <w:r>
              <w:t xml:space="preserve"> provisions </w:t>
            </w:r>
            <w:r>
              <w:t xml:space="preserve">regarding such appeals </w:t>
            </w:r>
            <w:r>
              <w:t xml:space="preserve">expire September 1, 2025, and </w:t>
            </w:r>
            <w:r>
              <w:t xml:space="preserve">apply </w:t>
            </w:r>
            <w:r w:rsidRPr="0053710D">
              <w:t xml:space="preserve">to the appeal of an order of an </w:t>
            </w:r>
            <w:r w:rsidRPr="0053710D">
              <w:t>appraisal review board without regard to whether the order was issued befor</w:t>
            </w:r>
            <w:r>
              <w:t>e the bill's effective date</w:t>
            </w:r>
            <w:r w:rsidRPr="0053710D">
              <w:t>.</w:t>
            </w:r>
            <w:r>
              <w:t xml:space="preserve"> </w:t>
            </w:r>
            <w:r>
              <w:t xml:space="preserve">An appeal that is </w:t>
            </w:r>
            <w:r w:rsidRPr="00111816">
              <w:t xml:space="preserve">pending on September 1, 2025, is governed by </w:t>
            </w:r>
            <w:r>
              <w:t>the bill's provisions as they</w:t>
            </w:r>
            <w:r w:rsidRPr="00111816">
              <w:t xml:space="preserve"> existed </w:t>
            </w:r>
            <w:r>
              <w:t>on August 31, 2025, and those provisions are</w:t>
            </w:r>
            <w:r w:rsidRPr="00111816">
              <w:t xml:space="preserve"> continued in effect for that purpose.</w:t>
            </w:r>
          </w:p>
          <w:p w:rsidR="0053710D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23F6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994 requires the </w:t>
            </w:r>
            <w:r w:rsidRPr="0053710D">
              <w:t>Office of Court Administration of the Texas Judicial System</w:t>
            </w:r>
            <w:r>
              <w:t xml:space="preserve"> (OCA)</w:t>
            </w:r>
            <w:r w:rsidRPr="0053710D">
              <w:t>,</w:t>
            </w:r>
            <w:r>
              <w:t xml:space="preserve"> on expiration of the bill's </w:t>
            </w:r>
            <w:r>
              <w:t xml:space="preserve">temporary </w:t>
            </w:r>
            <w:r>
              <w:t>provisions</w:t>
            </w:r>
            <w:r>
              <w:t>,</w:t>
            </w:r>
            <w:r>
              <w:t xml:space="preserve"> to conduct a study</w:t>
            </w:r>
            <w:r>
              <w:t>,</w:t>
            </w:r>
            <w:r>
              <w:t xml:space="preserve"> </w:t>
            </w:r>
            <w:r>
              <w:t>using existing resources</w:t>
            </w:r>
            <w:r>
              <w:t>,</w:t>
            </w:r>
            <w:r>
              <w:t xml:space="preserve"> </w:t>
            </w:r>
            <w:r>
              <w:t>on the</w:t>
            </w:r>
            <w:r w:rsidRPr="0053710D">
              <w:t xml:space="preserve"> effectiveness </w:t>
            </w:r>
            <w:r>
              <w:t xml:space="preserve">of those provisions </w:t>
            </w:r>
            <w:r w:rsidRPr="0053710D">
              <w:t>in increasing court efficiency and improving property owners' ability to exercise their appeal rights</w:t>
            </w:r>
            <w:r>
              <w:t xml:space="preserve">. The bill requires </w:t>
            </w:r>
            <w:r>
              <w:t>OCA</w:t>
            </w:r>
            <w:r>
              <w:t xml:space="preserve">, not later than December 1, </w:t>
            </w:r>
            <w:r w:rsidRPr="003B6280">
              <w:t>2026,</w:t>
            </w:r>
            <w:r>
              <w:t xml:space="preserve"> to </w:t>
            </w:r>
            <w:r w:rsidRPr="0053710D">
              <w:t>issue a report on the study</w:t>
            </w:r>
            <w:r>
              <w:t xml:space="preserve"> </w:t>
            </w:r>
            <w:r w:rsidRPr="0053710D">
              <w:t xml:space="preserve">to the appropriate standing committees of the </w:t>
            </w:r>
            <w:r w:rsidRPr="0053710D">
              <w:t>house of representatives and the senate</w:t>
            </w:r>
            <w:r>
              <w:t xml:space="preserve"> and to include</w:t>
            </w:r>
            <w:r w:rsidRPr="0053710D">
              <w:t xml:space="preserve"> recommendation</w:t>
            </w:r>
            <w:r>
              <w:t>s</w:t>
            </w:r>
            <w:r w:rsidRPr="0053710D">
              <w:t xml:space="preserve"> as to whether the legislature should enact legislation similar</w:t>
            </w:r>
            <w:r>
              <w:t xml:space="preserve"> to the expired provisions</w:t>
            </w:r>
            <w:r>
              <w:t xml:space="preserve"> in the next regular legislative session following the issuance of the report</w:t>
            </w:r>
            <w:r w:rsidRPr="0053710D">
              <w:t>.</w:t>
            </w:r>
            <w:r>
              <w:t xml:space="preserve"> </w:t>
            </w:r>
          </w:p>
          <w:p w:rsidR="009723F6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3710D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994</w:t>
            </w:r>
            <w:r>
              <w:t>, fo</w:t>
            </w:r>
            <w:r>
              <w:t xml:space="preserve">r purposes of statutory </w:t>
            </w:r>
            <w:r w:rsidRPr="00BB7627">
              <w:t>provision</w:t>
            </w:r>
            <w:r w:rsidRPr="003B6280">
              <w:t>s</w:t>
            </w:r>
            <w:r>
              <w:t xml:space="preserve"> regarding a protest hearing,</w:t>
            </w:r>
            <w:r>
              <w:t xml:space="preserve"> requires</w:t>
            </w:r>
            <w:r w:rsidRPr="00111816">
              <w:t xml:space="preserve"> </w:t>
            </w:r>
            <w:r>
              <w:t>the</w:t>
            </w:r>
            <w:r w:rsidRPr="00111816">
              <w:t xml:space="preserve"> appraisal review board and </w:t>
            </w:r>
            <w:r>
              <w:t>the</w:t>
            </w:r>
            <w:r w:rsidRPr="00111816">
              <w:t xml:space="preserve"> chief appraiser to review the evidence or argument </w:t>
            </w:r>
            <w:r>
              <w:t xml:space="preserve">duly </w:t>
            </w:r>
            <w:r w:rsidRPr="00111816">
              <w:t xml:space="preserve">provided by </w:t>
            </w:r>
            <w:r>
              <w:t>a</w:t>
            </w:r>
            <w:r w:rsidRPr="00111816">
              <w:t xml:space="preserve"> property owner </w:t>
            </w:r>
            <w:r>
              <w:t xml:space="preserve">initiating a taxpayer protest </w:t>
            </w:r>
            <w:r w:rsidRPr="00111816">
              <w:t xml:space="preserve">before </w:t>
            </w:r>
            <w:r>
              <w:t>the</w:t>
            </w:r>
            <w:r w:rsidRPr="00111816">
              <w:t xml:space="preserve"> </w:t>
            </w:r>
            <w:r w:rsidRPr="00111816">
              <w:t xml:space="preserve">hearing on </w:t>
            </w:r>
            <w:r>
              <w:t>the</w:t>
            </w:r>
            <w:r w:rsidRPr="00111816">
              <w:t xml:space="preserve"> protest</w:t>
            </w:r>
            <w:r w:rsidRPr="00111816">
              <w:t>.</w:t>
            </w:r>
          </w:p>
          <w:p w:rsidR="008423E4" w:rsidRPr="00835628" w:rsidRDefault="00DE3208" w:rsidP="001D21C6">
            <w:pPr>
              <w:rPr>
                <w:b/>
              </w:rPr>
            </w:pPr>
          </w:p>
        </w:tc>
      </w:tr>
      <w:tr w:rsidR="00CE3882" w:rsidTr="00345119">
        <w:tc>
          <w:tcPr>
            <w:tcW w:w="9576" w:type="dxa"/>
          </w:tcPr>
          <w:p w:rsidR="008423E4" w:rsidRPr="00A8133F" w:rsidRDefault="00DE3208" w:rsidP="001D21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3208" w:rsidP="001D21C6"/>
          <w:p w:rsidR="00565ADF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6177">
              <w:t>September 1, 2019</w:t>
            </w:r>
            <w:r>
              <w:t>.</w:t>
            </w:r>
            <w:r>
              <w:t xml:space="preserve"> </w:t>
            </w:r>
          </w:p>
          <w:p w:rsidR="007356A2" w:rsidRPr="00233FDB" w:rsidRDefault="00DE3208" w:rsidP="001D21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E3882" w:rsidTr="00345119">
        <w:tc>
          <w:tcPr>
            <w:tcW w:w="9576" w:type="dxa"/>
          </w:tcPr>
          <w:p w:rsidR="00CC1263" w:rsidRDefault="00DE3208" w:rsidP="001D21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931AD" w:rsidRDefault="00DE3208" w:rsidP="001D21C6">
            <w:pPr>
              <w:jc w:val="both"/>
            </w:pPr>
          </w:p>
          <w:p w:rsidR="00A931AD" w:rsidRDefault="00DE3208" w:rsidP="001D21C6">
            <w:pPr>
              <w:jc w:val="both"/>
            </w:pPr>
            <w:r>
              <w:t xml:space="preserve">While C.S.H.B. 994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A931AD" w:rsidRDefault="00DE3208" w:rsidP="001D21C6">
            <w:pPr>
              <w:jc w:val="both"/>
            </w:pPr>
          </w:p>
          <w:p w:rsidR="00A931AD" w:rsidRDefault="00DE3208" w:rsidP="001D21C6">
            <w:pPr>
              <w:jc w:val="both"/>
            </w:pPr>
            <w:r>
              <w:t xml:space="preserve">The substitute changes the </w:t>
            </w:r>
            <w:r>
              <w:t>conditio</w:t>
            </w:r>
            <w:r>
              <w:t xml:space="preserve">ns </w:t>
            </w:r>
            <w:r>
              <w:t xml:space="preserve">under which a property owner may bring </w:t>
            </w:r>
            <w:r>
              <w:t>an appeal to a justice court</w:t>
            </w:r>
            <w:r>
              <w:t xml:space="preserve"> </w:t>
            </w:r>
            <w:r w:rsidRPr="007356A2">
              <w:t>as an alternative to bringing an appeal of an appraisal review board order regarding certain protests and determinat</w:t>
            </w:r>
            <w:r w:rsidRPr="007356A2">
              <w:t>ions to a district court</w:t>
            </w:r>
            <w:r>
              <w:t xml:space="preserve">. </w:t>
            </w:r>
            <w:r>
              <w:t>The substitute removes the specification that statutory provisions regarding the remedy for an unequal appraisal apply to an appeal brought to a justice court</w:t>
            </w:r>
            <w:r>
              <w:t>.</w:t>
            </w:r>
          </w:p>
          <w:p w:rsidR="00A931AD" w:rsidRPr="00A931AD" w:rsidRDefault="00DE3208" w:rsidP="001D21C6">
            <w:pPr>
              <w:jc w:val="both"/>
            </w:pPr>
          </w:p>
        </w:tc>
      </w:tr>
      <w:tr w:rsidR="00CE3882" w:rsidTr="00345119">
        <w:tc>
          <w:tcPr>
            <w:tcW w:w="9576" w:type="dxa"/>
          </w:tcPr>
          <w:p w:rsidR="00CC1263" w:rsidRPr="009C1E9A" w:rsidRDefault="00DE3208" w:rsidP="001D21C6">
            <w:pPr>
              <w:rPr>
                <w:b/>
                <w:u w:val="single"/>
              </w:rPr>
            </w:pPr>
          </w:p>
        </w:tc>
      </w:tr>
      <w:tr w:rsidR="00CE3882" w:rsidTr="00345119">
        <w:tc>
          <w:tcPr>
            <w:tcW w:w="9576" w:type="dxa"/>
          </w:tcPr>
          <w:p w:rsidR="00CC1263" w:rsidRPr="00CC1263" w:rsidRDefault="00DE3208" w:rsidP="001D21C6">
            <w:pPr>
              <w:jc w:val="both"/>
            </w:pPr>
          </w:p>
        </w:tc>
      </w:tr>
    </w:tbl>
    <w:p w:rsidR="004108C3" w:rsidRPr="008423E4" w:rsidRDefault="00DE320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3208">
      <w:r>
        <w:separator/>
      </w:r>
    </w:p>
  </w:endnote>
  <w:endnote w:type="continuationSeparator" w:id="0">
    <w:p w:rsidR="00000000" w:rsidRDefault="00D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42" w:rsidRDefault="00DE3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3882" w:rsidTr="009C1E9A">
      <w:trPr>
        <w:cantSplit/>
      </w:trPr>
      <w:tc>
        <w:tcPr>
          <w:tcW w:w="0" w:type="pct"/>
        </w:tcPr>
        <w:p w:rsidR="00137D90" w:rsidRDefault="00DE32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32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32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32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32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882" w:rsidTr="009C1E9A">
      <w:trPr>
        <w:cantSplit/>
      </w:trPr>
      <w:tc>
        <w:tcPr>
          <w:tcW w:w="0" w:type="pct"/>
        </w:tcPr>
        <w:p w:rsidR="00EC379B" w:rsidRDefault="00DE32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32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26565</w:t>
          </w:r>
        </w:p>
      </w:tc>
      <w:tc>
        <w:tcPr>
          <w:tcW w:w="2453" w:type="pct"/>
        </w:tcPr>
        <w:p w:rsidR="00EC379B" w:rsidRDefault="00DE32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19.101.1216</w:t>
          </w:r>
          <w:r>
            <w:fldChar w:fldCharType="end"/>
          </w:r>
        </w:p>
      </w:tc>
    </w:tr>
    <w:tr w:rsidR="00CE3882" w:rsidTr="009C1E9A">
      <w:trPr>
        <w:cantSplit/>
      </w:trPr>
      <w:tc>
        <w:tcPr>
          <w:tcW w:w="0" w:type="pct"/>
        </w:tcPr>
        <w:p w:rsidR="00EC379B" w:rsidRDefault="00DE32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32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20749</w:t>
          </w:r>
        </w:p>
      </w:tc>
      <w:tc>
        <w:tcPr>
          <w:tcW w:w="2453" w:type="pct"/>
        </w:tcPr>
        <w:p w:rsidR="00EC379B" w:rsidRDefault="00DE3208" w:rsidP="006D504F">
          <w:pPr>
            <w:pStyle w:val="Footer"/>
            <w:rPr>
              <w:rStyle w:val="PageNumber"/>
            </w:rPr>
          </w:pPr>
        </w:p>
        <w:p w:rsidR="00EC379B" w:rsidRDefault="00DE32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8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32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E32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32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42" w:rsidRDefault="00DE3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3208">
      <w:r>
        <w:separator/>
      </w:r>
    </w:p>
  </w:footnote>
  <w:footnote w:type="continuationSeparator" w:id="0">
    <w:p w:rsidR="00000000" w:rsidRDefault="00DE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42" w:rsidRDefault="00DE3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42" w:rsidRDefault="00DE3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42" w:rsidRDefault="00DE3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75E"/>
    <w:multiLevelType w:val="hybridMultilevel"/>
    <w:tmpl w:val="00340500"/>
    <w:lvl w:ilvl="0" w:tplc="1E449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6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6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4C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E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2B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1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45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8B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06C4"/>
    <w:multiLevelType w:val="hybridMultilevel"/>
    <w:tmpl w:val="892841C2"/>
    <w:lvl w:ilvl="0" w:tplc="4CE2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A7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6C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80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44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25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03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CD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80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2"/>
    <w:rsid w:val="00CE3882"/>
    <w:rsid w:val="00D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5D0CEF-1EFF-429F-97A1-59E0C7D8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18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1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18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4279</Characters>
  <Application>Microsoft Office Word</Application>
  <DocSecurity>4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HB00994 (Committee Report (Substituted))</vt:lpstr>
    </vt:vector>
  </TitlesOfParts>
  <Company>State of Texas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26565</dc:subject>
  <dc:creator>State of Texas</dc:creator>
  <dc:description>HB 994 by Guillen-(H)Ways &amp; Means (Substitute Document Number: 86R 20749)</dc:description>
  <cp:lastModifiedBy>Laura Ramsay</cp:lastModifiedBy>
  <cp:revision>2</cp:revision>
  <cp:lastPrinted>2003-11-26T17:21:00Z</cp:lastPrinted>
  <dcterms:created xsi:type="dcterms:W3CDTF">2019-04-16T00:52:00Z</dcterms:created>
  <dcterms:modified xsi:type="dcterms:W3CDTF">2019-04-16T00:52:00Z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19.101.1216</vt:lpwstr>
  </property>
</Properties>
</file>