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5689" w:rsidTr="001C7B59">
        <w:tc>
          <w:tcPr>
            <w:tcW w:w="9576" w:type="dxa"/>
            <w:noWrap/>
          </w:tcPr>
          <w:p w:rsidR="008423E4" w:rsidRPr="0022177D" w:rsidRDefault="000609DE" w:rsidP="001C7B5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09DE" w:rsidP="008423E4">
      <w:pPr>
        <w:jc w:val="center"/>
      </w:pPr>
    </w:p>
    <w:p w:rsidR="008423E4" w:rsidRPr="00B31F0E" w:rsidRDefault="000609DE" w:rsidP="008423E4"/>
    <w:p w:rsidR="008423E4" w:rsidRPr="00742794" w:rsidRDefault="000609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5689" w:rsidTr="001C7B59">
        <w:tc>
          <w:tcPr>
            <w:tcW w:w="9576" w:type="dxa"/>
          </w:tcPr>
          <w:p w:rsidR="008423E4" w:rsidRPr="00861995" w:rsidRDefault="000609DE" w:rsidP="001C7B59">
            <w:pPr>
              <w:jc w:val="right"/>
            </w:pPr>
            <w:r>
              <w:t>C.S.H.B. 1000</w:t>
            </w:r>
          </w:p>
        </w:tc>
      </w:tr>
      <w:tr w:rsidR="00E75689" w:rsidTr="001C7B59">
        <w:tc>
          <w:tcPr>
            <w:tcW w:w="9576" w:type="dxa"/>
          </w:tcPr>
          <w:p w:rsidR="008423E4" w:rsidRPr="00861995" w:rsidRDefault="000609DE" w:rsidP="002908FB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E75689" w:rsidTr="001C7B59">
        <w:tc>
          <w:tcPr>
            <w:tcW w:w="9576" w:type="dxa"/>
          </w:tcPr>
          <w:p w:rsidR="008423E4" w:rsidRPr="00861995" w:rsidRDefault="000609DE" w:rsidP="001C7B59">
            <w:pPr>
              <w:jc w:val="right"/>
            </w:pPr>
            <w:r>
              <w:t>International Relations &amp; Economic Development</w:t>
            </w:r>
          </w:p>
        </w:tc>
      </w:tr>
      <w:tr w:rsidR="00E75689" w:rsidTr="001C7B59">
        <w:tc>
          <w:tcPr>
            <w:tcW w:w="9576" w:type="dxa"/>
          </w:tcPr>
          <w:p w:rsidR="008423E4" w:rsidRDefault="000609DE" w:rsidP="001C7B5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609DE" w:rsidP="008423E4">
      <w:pPr>
        <w:tabs>
          <w:tab w:val="right" w:pos="9360"/>
        </w:tabs>
      </w:pPr>
    </w:p>
    <w:p w:rsidR="008423E4" w:rsidRDefault="000609DE" w:rsidP="008423E4"/>
    <w:p w:rsidR="008423E4" w:rsidRDefault="000609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5689" w:rsidTr="001C7B59">
        <w:tc>
          <w:tcPr>
            <w:tcW w:w="9576" w:type="dxa"/>
          </w:tcPr>
          <w:p w:rsidR="008423E4" w:rsidRPr="00A8133F" w:rsidRDefault="000609DE" w:rsidP="00BF02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09DE" w:rsidP="00BF02D4"/>
          <w:p w:rsidR="006D0016" w:rsidRDefault="000609DE" w:rsidP="00BF02D4">
            <w:pPr>
              <w:pStyle w:val="Header"/>
              <w:jc w:val="both"/>
            </w:pPr>
            <w:r>
              <w:t>C</w:t>
            </w:r>
            <w:r>
              <w:t xml:space="preserve">oncerns have been raised that </w:t>
            </w:r>
            <w:r w:rsidRPr="00823275">
              <w:t>small businesses</w:t>
            </w:r>
            <w:r>
              <w:t>,</w:t>
            </w:r>
            <w:r w:rsidRPr="00823275">
              <w:t xml:space="preserve"> particularly those in rural and distressed communities</w:t>
            </w:r>
            <w:r>
              <w:t>,</w:t>
            </w:r>
            <w:r w:rsidRPr="00823275">
              <w:t xml:space="preserve"> are finding it difficult to secure the capital needed to grow and create good jobs. </w:t>
            </w:r>
            <w:r>
              <w:t>C.S.</w:t>
            </w:r>
            <w:r>
              <w:t>H.B. 1000</w:t>
            </w:r>
            <w:r w:rsidRPr="00823275">
              <w:t xml:space="preserve"> </w:t>
            </w:r>
            <w:r>
              <w:t xml:space="preserve">seeks to </w:t>
            </w:r>
            <w:r w:rsidRPr="00823275">
              <w:t>encourage job creation and local economic development by facilitating access to private sect</w:t>
            </w:r>
            <w:r w:rsidRPr="00823275">
              <w:t xml:space="preserve">or capital for small businesses </w:t>
            </w:r>
            <w:r>
              <w:t xml:space="preserve">in rural communities </w:t>
            </w:r>
            <w:r>
              <w:t xml:space="preserve">and </w:t>
            </w:r>
            <w:r>
              <w:t>opportunity zones</w:t>
            </w:r>
            <w:r>
              <w:t>.</w:t>
            </w:r>
            <w:r>
              <w:t xml:space="preserve"> </w:t>
            </w:r>
          </w:p>
          <w:p w:rsidR="008423E4" w:rsidRPr="00E26B13" w:rsidRDefault="000609DE" w:rsidP="00BF02D4">
            <w:pPr>
              <w:pStyle w:val="Header"/>
              <w:jc w:val="both"/>
              <w:rPr>
                <w:b/>
              </w:rPr>
            </w:pPr>
          </w:p>
        </w:tc>
      </w:tr>
      <w:tr w:rsidR="00E75689" w:rsidTr="001C7B59">
        <w:tc>
          <w:tcPr>
            <w:tcW w:w="9576" w:type="dxa"/>
          </w:tcPr>
          <w:p w:rsidR="0017725B" w:rsidRDefault="000609DE" w:rsidP="00BF02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09DE" w:rsidP="00BF02D4">
            <w:pPr>
              <w:rPr>
                <w:b/>
                <w:u w:val="single"/>
              </w:rPr>
            </w:pPr>
          </w:p>
          <w:p w:rsidR="00FA25B9" w:rsidRPr="00FA25B9" w:rsidRDefault="000609DE" w:rsidP="00BF02D4">
            <w:pPr>
              <w:jc w:val="both"/>
            </w:pPr>
            <w:r>
              <w:t>It is the committee's opinion that this bill does not expressly create a criminal offense, increase the punishment for an existing criminal offense or c</w:t>
            </w:r>
            <w:r>
              <w:t>ategory of offenses, or change the eligibility of a person for community supervision, parole, or mandatory supervision.</w:t>
            </w:r>
          </w:p>
          <w:p w:rsidR="0017725B" w:rsidRPr="0017725B" w:rsidRDefault="000609DE" w:rsidP="00BF02D4">
            <w:pPr>
              <w:rPr>
                <w:b/>
                <w:u w:val="single"/>
              </w:rPr>
            </w:pPr>
          </w:p>
        </w:tc>
      </w:tr>
      <w:tr w:rsidR="00E75689" w:rsidTr="001C7B59">
        <w:tc>
          <w:tcPr>
            <w:tcW w:w="9576" w:type="dxa"/>
          </w:tcPr>
          <w:p w:rsidR="008423E4" w:rsidRPr="00A8133F" w:rsidRDefault="000609DE" w:rsidP="00BF02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09DE" w:rsidP="00BF02D4"/>
          <w:p w:rsidR="00F75B6C" w:rsidRDefault="000609DE" w:rsidP="00BF02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Economic Development and Tourism Office in SECTION 1 and </w:t>
            </w:r>
            <w:r>
              <w:t xml:space="preserve">to </w:t>
            </w:r>
            <w:r>
              <w:t>the comptroller of public accounts in SECTION 2 of this bill.</w:t>
            </w:r>
          </w:p>
          <w:p w:rsidR="008423E4" w:rsidRPr="00E21FDC" w:rsidRDefault="000609DE" w:rsidP="00BF02D4">
            <w:pPr>
              <w:rPr>
                <w:b/>
              </w:rPr>
            </w:pPr>
          </w:p>
        </w:tc>
      </w:tr>
      <w:tr w:rsidR="00E75689" w:rsidTr="001C7B59">
        <w:tc>
          <w:tcPr>
            <w:tcW w:w="9576" w:type="dxa"/>
          </w:tcPr>
          <w:p w:rsidR="008423E4" w:rsidRPr="00A8133F" w:rsidRDefault="000609DE" w:rsidP="00BF02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09DE" w:rsidP="00BF02D4"/>
          <w:p w:rsidR="001D7B5B" w:rsidRDefault="000609DE" w:rsidP="00BF02D4">
            <w:pPr>
              <w:pStyle w:val="Header"/>
              <w:jc w:val="both"/>
            </w:pPr>
            <w:r>
              <w:t>C.S.</w:t>
            </w:r>
            <w:r>
              <w:t>H.B. 1000 amends the Govern</w:t>
            </w:r>
            <w:r>
              <w:t xml:space="preserve">ment Code to require the Texas </w:t>
            </w:r>
            <w:r>
              <w:t xml:space="preserve">Economic Development and Tourism Office (TEDTO) to </w:t>
            </w:r>
            <w:r w:rsidRPr="002D5140">
              <w:t>accept applications from entities seeking approval</w:t>
            </w:r>
            <w:r>
              <w:t xml:space="preserve"> as rural and opportunity funds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requires </w:t>
            </w:r>
            <w:r>
              <w:t xml:space="preserve">such </w:t>
            </w:r>
            <w:r>
              <w:t>applications</w:t>
            </w:r>
            <w:r>
              <w:t xml:space="preserve"> </w:t>
            </w:r>
            <w:r>
              <w:t>to include</w:t>
            </w:r>
            <w:r>
              <w:t xml:space="preserve"> the following:</w:t>
            </w:r>
            <w:r>
              <w:t xml:space="preserve"> </w:t>
            </w:r>
          </w:p>
          <w:p w:rsidR="001D7B5B" w:rsidRDefault="000609DE" w:rsidP="00BF02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8635C">
              <w:t xml:space="preserve">the total </w:t>
            </w:r>
            <w:r w:rsidRPr="00C45C84">
              <w:t>investment authori</w:t>
            </w:r>
            <w:r w:rsidRPr="00C45C84">
              <w:t>ty</w:t>
            </w:r>
            <w:r w:rsidRPr="0048635C">
              <w:t xml:space="preserve"> sought by the applicant under the applicant's business plan</w:t>
            </w:r>
            <w:r>
              <w:t xml:space="preserve">; </w:t>
            </w:r>
          </w:p>
          <w:p w:rsidR="00121F4A" w:rsidRDefault="000609DE" w:rsidP="00BF02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8635C">
              <w:t xml:space="preserve">evidence sufficient to prove </w:t>
            </w:r>
            <w:r>
              <w:t xml:space="preserve">the following </w:t>
            </w:r>
            <w:r w:rsidRPr="0048635C">
              <w:t xml:space="preserve">to </w:t>
            </w:r>
            <w:r>
              <w:t>TEDTO's</w:t>
            </w:r>
            <w:r w:rsidRPr="0048635C">
              <w:t xml:space="preserve"> satisfaction</w:t>
            </w:r>
            <w:r>
              <w:t xml:space="preserve"> that, as of the date the applicant submits the application</w:t>
            </w:r>
            <w:r>
              <w:t>:</w:t>
            </w:r>
            <w:r w:rsidRPr="0048635C">
              <w:t xml:space="preserve"> </w:t>
            </w:r>
          </w:p>
          <w:p w:rsidR="00121F4A" w:rsidRDefault="000609DE" w:rsidP="00BF02D4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 w:rsidRPr="0048635C">
              <w:t>the applicant or affiliates of the applicant have invested</w:t>
            </w:r>
            <w:r>
              <w:t xml:space="preserve">, in </w:t>
            </w:r>
            <w:r>
              <w:t>the aggregate,</w:t>
            </w:r>
            <w:r w:rsidRPr="0048635C">
              <w:t xml:space="preserve"> at least $100 million in nonpublic companies located in a </w:t>
            </w:r>
            <w:r w:rsidRPr="005E5893">
              <w:t xml:space="preserve">municipality </w:t>
            </w:r>
            <w:r>
              <w:t xml:space="preserve">or county </w:t>
            </w:r>
            <w:r w:rsidRPr="005E5893">
              <w:t xml:space="preserve">with a population </w:t>
            </w:r>
            <w:r>
              <w:t xml:space="preserve">below a </w:t>
            </w:r>
            <w:r>
              <w:t>certain</w:t>
            </w:r>
            <w:r>
              <w:t xml:space="preserve"> threshold</w:t>
            </w:r>
            <w:r>
              <w:t xml:space="preserve"> or </w:t>
            </w:r>
            <w:r>
              <w:t xml:space="preserve">in </w:t>
            </w:r>
            <w:r>
              <w:t xml:space="preserve">a census tract designated as a qualified opportunity zone </w:t>
            </w:r>
            <w:r w:rsidRPr="00F34B67">
              <w:t xml:space="preserve">in </w:t>
            </w:r>
            <w:r w:rsidRPr="00A07F88">
              <w:t xml:space="preserve">accordance </w:t>
            </w:r>
            <w:r>
              <w:t xml:space="preserve">with </w:t>
            </w:r>
            <w:r w:rsidRPr="00A07F88">
              <w:t xml:space="preserve">certain provisions of the </w:t>
            </w:r>
            <w:r w:rsidRPr="00A07F88">
              <w:t>Internal Revenue Code of 1986</w:t>
            </w:r>
            <w:r w:rsidRPr="005E5893">
              <w:t>, regardless of whether the municipality</w:t>
            </w:r>
            <w:r>
              <w:t>,</w:t>
            </w:r>
            <w:r w:rsidRPr="005E5893">
              <w:t xml:space="preserve"> county</w:t>
            </w:r>
            <w:r>
              <w:t>, or census tract</w:t>
            </w:r>
            <w:r w:rsidRPr="005E5893">
              <w:t xml:space="preserve"> is located inside or outside </w:t>
            </w:r>
            <w:r>
              <w:t>Texas</w:t>
            </w:r>
            <w:r>
              <w:t xml:space="preserve"> and </w:t>
            </w:r>
            <w:r>
              <w:t xml:space="preserve">regardless </w:t>
            </w:r>
            <w:r>
              <w:t xml:space="preserve">of when the designation of </w:t>
            </w:r>
            <w:r w:rsidRPr="00A246A3">
              <w:t>an applicable</w:t>
            </w:r>
            <w:r w:rsidRPr="00A246A3">
              <w:t xml:space="preserve"> census tract</w:t>
            </w:r>
            <w:r>
              <w:t xml:space="preserve"> was made</w:t>
            </w:r>
            <w:r>
              <w:t>;</w:t>
            </w:r>
            <w:r>
              <w:t xml:space="preserve"> and</w:t>
            </w:r>
          </w:p>
          <w:p w:rsidR="001D7B5B" w:rsidRDefault="000609DE" w:rsidP="00BF02D4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 w:rsidRPr="0048635C">
              <w:t xml:space="preserve">at least one principal in a </w:t>
            </w:r>
            <w:r>
              <w:t>federally licen</w:t>
            </w:r>
            <w:r>
              <w:t xml:space="preserve">sed </w:t>
            </w:r>
            <w:r w:rsidRPr="0048635C">
              <w:t>rural business investment company</w:t>
            </w:r>
            <w:r>
              <w:t xml:space="preserve"> (RBIC)</w:t>
            </w:r>
            <w:r w:rsidRPr="0048635C">
              <w:t xml:space="preserve"> or small business investment company</w:t>
            </w:r>
            <w:r>
              <w:t xml:space="preserve"> (SBIC)</w:t>
            </w:r>
            <w:r w:rsidRPr="0048635C">
              <w:t xml:space="preserve"> is and has been for at least four years an officer or employee of the applicant or of an affiliate of the applicant on the da</w:t>
            </w:r>
            <w:r>
              <w:t>te the application is submitted</w:t>
            </w:r>
            <w:r w:rsidRPr="0048635C">
              <w:t>;</w:t>
            </w:r>
            <w:r>
              <w:t xml:space="preserve"> </w:t>
            </w:r>
          </w:p>
          <w:p w:rsidR="001D7B5B" w:rsidRDefault="000609DE" w:rsidP="00BF02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8635C">
              <w:t>a copy o</w:t>
            </w:r>
            <w:r w:rsidRPr="0048635C">
              <w:t xml:space="preserve">f the </w:t>
            </w:r>
            <w:r>
              <w:t xml:space="preserve">applicable </w:t>
            </w:r>
            <w:r>
              <w:t>RBIC</w:t>
            </w:r>
            <w:r w:rsidRPr="0048635C">
              <w:t xml:space="preserve"> or </w:t>
            </w:r>
            <w:r>
              <w:t>SBIC</w:t>
            </w:r>
            <w:r w:rsidRPr="0048635C">
              <w:t xml:space="preserve"> license</w:t>
            </w:r>
            <w:r>
              <w:t xml:space="preserve">; </w:t>
            </w:r>
          </w:p>
          <w:p w:rsidR="001D7B5B" w:rsidRDefault="000609DE" w:rsidP="00BF02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8635C">
              <w:t xml:space="preserve">an estimate of the number of </w:t>
            </w:r>
            <w:r w:rsidRPr="00DF3ED8">
              <w:t>jobs created</w:t>
            </w:r>
            <w:r w:rsidRPr="0048635C">
              <w:t xml:space="preserve"> and </w:t>
            </w:r>
            <w:r w:rsidRPr="00DF3ED8">
              <w:t>jobs retained</w:t>
            </w:r>
            <w:r w:rsidRPr="0048635C">
              <w:t xml:space="preserve"> as a result of the applicant's </w:t>
            </w:r>
            <w:r w:rsidRPr="00BB1172">
              <w:t>growth investments</w:t>
            </w:r>
            <w:r w:rsidRPr="0048635C">
              <w:t>;</w:t>
            </w:r>
            <w:r>
              <w:t xml:space="preserve"> </w:t>
            </w:r>
          </w:p>
          <w:p w:rsidR="001D7B5B" w:rsidRDefault="000609DE" w:rsidP="00BF02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8635C">
              <w:t>a business plan</w:t>
            </w:r>
            <w:r>
              <w:t xml:space="preserve"> prepared by a third party independent economic forecasting firm</w:t>
            </w:r>
            <w:r w:rsidRPr="0048635C">
              <w:t xml:space="preserve"> that includes a </w:t>
            </w:r>
            <w:r>
              <w:t>specifie</w:t>
            </w:r>
            <w:r>
              <w:t xml:space="preserve">d </w:t>
            </w:r>
            <w:r w:rsidRPr="0048635C">
              <w:t>revenue impact assessment</w:t>
            </w:r>
            <w:r>
              <w:t xml:space="preserve"> which projects the state and local revenue to be generated by the proposed investments</w:t>
            </w:r>
            <w:r>
              <w:t xml:space="preserve">; </w:t>
            </w:r>
          </w:p>
          <w:p w:rsidR="001D7B5B" w:rsidRDefault="000609DE" w:rsidP="00BF02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8635C">
              <w:t xml:space="preserve">a signed affidavit from each committed investor stating the amount of </w:t>
            </w:r>
            <w:r w:rsidRPr="00DF3ED8">
              <w:t>credit-eligible capital contributions</w:t>
            </w:r>
            <w:r>
              <w:t xml:space="preserve"> </w:t>
            </w:r>
            <w:r w:rsidRPr="0048635C">
              <w:t>the investor commits to making;</w:t>
            </w:r>
            <w:r w:rsidRPr="0048635C">
              <w:t xml:space="preserve"> and</w:t>
            </w:r>
            <w:r>
              <w:t xml:space="preserve"> </w:t>
            </w:r>
          </w:p>
          <w:p w:rsidR="00E443AF" w:rsidRDefault="000609DE" w:rsidP="00BF02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8635C">
              <w:t>a nonrefundable application fee of $5,000.</w:t>
            </w:r>
          </w:p>
          <w:p w:rsidR="00E443AF" w:rsidRDefault="000609DE" w:rsidP="00BF02D4">
            <w:pPr>
              <w:pStyle w:val="Header"/>
              <w:jc w:val="both"/>
            </w:pPr>
          </w:p>
          <w:p w:rsidR="00E443AF" w:rsidRDefault="000609DE" w:rsidP="00BF02D4">
            <w:pPr>
              <w:pStyle w:val="Header"/>
              <w:jc w:val="both"/>
            </w:pPr>
            <w:r>
              <w:t>C.S.</w:t>
            </w:r>
            <w:r>
              <w:t>H.B. 1000</w:t>
            </w:r>
            <w:r>
              <w:t xml:space="preserve"> </w:t>
            </w:r>
            <w:r>
              <w:t>requires at least 65 percent of a rural and opportunity fund's investment authority to consist of credit-eligible capital contributions</w:t>
            </w:r>
            <w:r>
              <w:t>;</w:t>
            </w:r>
            <w:r>
              <w:t xml:space="preserve"> </w:t>
            </w:r>
            <w:r>
              <w:t>defines</w:t>
            </w:r>
            <w:r>
              <w:t xml:space="preserve">, among other </w:t>
            </w:r>
            <w:r>
              <w:t>terms</w:t>
            </w:r>
            <w:r>
              <w:t>,</w:t>
            </w:r>
            <w:r>
              <w:t xml:space="preserve"> "credit-eligible capital contribution" as </w:t>
            </w:r>
            <w:r w:rsidRPr="00593859">
              <w:t xml:space="preserve">an investment of cash that equals the amount specified on a tax credit certificate issued by TEDTO </w:t>
            </w:r>
            <w:r>
              <w:t>made</w:t>
            </w:r>
            <w:r w:rsidRPr="00593859">
              <w:t xml:space="preserve"> by an entity that is subject to state insurance tax liability</w:t>
            </w:r>
            <w:r>
              <w:t>;</w:t>
            </w:r>
            <w:r>
              <w:t xml:space="preserve"> and qualifies an investment as such a contribu</w:t>
            </w:r>
            <w:r>
              <w:t>tion</w:t>
            </w:r>
            <w:r>
              <w:t xml:space="preserve"> only if the entity making the investment receives in exchange for the investment an equity interest in the rural and opportunity fund or</w:t>
            </w:r>
            <w:r>
              <w:t>,</w:t>
            </w:r>
            <w:r>
              <w:t xml:space="preserve"> at par value or premium, a debt instrument that has a maturity date of at least five years from the closing date </w:t>
            </w:r>
            <w:r>
              <w:t xml:space="preserve">and a repayment schedule that is no faster than level principal amortization over five years. </w:t>
            </w:r>
            <w:r>
              <w:t xml:space="preserve">The bill defines "growth investment" as </w:t>
            </w:r>
            <w:r w:rsidRPr="006254A9">
              <w:t>any capital or equity investment by a rural and opportunity fund in a targeted small business or any loan by a rural and o</w:t>
            </w:r>
            <w:r w:rsidRPr="006254A9">
              <w:t>pportunity fund to a targeted small business with a stated maturity date of at least one year after the date of issuance</w:t>
            </w:r>
            <w:r>
              <w:t xml:space="preserve">. The bill defines "targeted small business" as </w:t>
            </w:r>
            <w:r w:rsidRPr="00B00F5A">
              <w:t>a business that, at the time of the initial growth investment in the business</w:t>
            </w:r>
            <w:r>
              <w:t>,</w:t>
            </w:r>
            <w:r w:rsidRPr="00B00F5A">
              <w:t xml:space="preserve"> had fewer</w:t>
            </w:r>
            <w:r w:rsidRPr="00B00F5A">
              <w:t xml:space="preserve"> than 250 employees and </w:t>
            </w:r>
            <w:r>
              <w:t>has</w:t>
            </w:r>
            <w:r w:rsidRPr="00B00F5A">
              <w:t xml:space="preserve"> </w:t>
            </w:r>
            <w:r w:rsidRPr="00B00F5A">
              <w:t>its principal business operations located in one or more qualified areas in Texas</w:t>
            </w:r>
            <w:r>
              <w:t xml:space="preserve"> and sets out criteria for determining the eligibility of an out-of-state business </w:t>
            </w:r>
            <w:r>
              <w:t xml:space="preserve">to be so classified </w:t>
            </w:r>
            <w:r>
              <w:t>and for determining the location of principa</w:t>
            </w:r>
            <w:r>
              <w:t>l business operations.</w:t>
            </w:r>
            <w:r w:rsidRPr="00B00F5A">
              <w:t xml:space="preserve"> The bill defines "qualified area" as </w:t>
            </w:r>
            <w:r w:rsidRPr="00B00F5A">
              <w:t>a qualified opportunity zone</w:t>
            </w:r>
            <w:r>
              <w:t>,</w:t>
            </w:r>
            <w:r w:rsidRPr="00B00F5A">
              <w:t xml:space="preserve"> as defined by certain provisions of the</w:t>
            </w:r>
            <w:r>
              <w:t xml:space="preserve"> federal</w:t>
            </w:r>
            <w:r w:rsidRPr="00B00F5A">
              <w:t xml:space="preserve"> Internal Revenue Code of 1986</w:t>
            </w:r>
            <w:r>
              <w:t xml:space="preserve">, or </w:t>
            </w:r>
            <w:r w:rsidRPr="00B00F5A">
              <w:t>a rural community</w:t>
            </w:r>
            <w:r>
              <w:t>,</w:t>
            </w:r>
            <w:r w:rsidRPr="00B00F5A">
              <w:t xml:space="preserve"> as defined </w:t>
            </w:r>
            <w:r>
              <w:t>for purposes of the Texas rural investment fund,</w:t>
            </w:r>
            <w:r>
              <w:t xml:space="preserve"> that </w:t>
            </w:r>
            <w:r>
              <w:t xml:space="preserve">is not a geographic area </w:t>
            </w:r>
            <w:r>
              <w:t>delineated as urbanized</w:t>
            </w:r>
            <w:r>
              <w:t xml:space="preserve"> by the U.S. Census Bureau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provides for the meaning of</w:t>
            </w:r>
            <w:r>
              <w:t xml:space="preserve"> "jobs created" </w:t>
            </w:r>
            <w:r>
              <w:t>and</w:t>
            </w:r>
            <w:r>
              <w:t xml:space="preserve"> "jobs retained" and sets out </w:t>
            </w:r>
            <w:r>
              <w:t>method</w:t>
            </w:r>
            <w:r>
              <w:t>s</w:t>
            </w:r>
            <w:r>
              <w:t xml:space="preserve"> </w:t>
            </w:r>
            <w:r>
              <w:t xml:space="preserve">for </w:t>
            </w:r>
            <w:r>
              <w:t>calculati</w:t>
            </w:r>
            <w:r>
              <w:t>ng the number of jobs in</w:t>
            </w:r>
            <w:r>
              <w:t xml:space="preserve"> </w:t>
            </w:r>
            <w:r>
              <w:t>those</w:t>
            </w:r>
            <w:r>
              <w:t xml:space="preserve"> categories for purposes of the bill's requi</w:t>
            </w:r>
            <w:r>
              <w:t>rements</w:t>
            </w:r>
            <w:r w:rsidRPr="00082C63">
              <w:t>.</w:t>
            </w:r>
          </w:p>
          <w:p w:rsidR="001D7B5B" w:rsidRDefault="000609DE" w:rsidP="00BF02D4">
            <w:pPr>
              <w:pStyle w:val="Header"/>
              <w:jc w:val="both"/>
            </w:pPr>
            <w:r>
              <w:t xml:space="preserve"> </w:t>
            </w:r>
          </w:p>
          <w:p w:rsidR="000821ED" w:rsidRDefault="000609DE" w:rsidP="00BF02D4">
            <w:pPr>
              <w:pStyle w:val="Header"/>
              <w:jc w:val="both"/>
            </w:pPr>
            <w:r>
              <w:t>C.S.</w:t>
            </w:r>
            <w:r>
              <w:t>H.B. 1000</w:t>
            </w:r>
            <w:r>
              <w:t xml:space="preserve"> requires TEDTO to </w:t>
            </w:r>
            <w:r w:rsidRPr="002D5140">
              <w:t xml:space="preserve">make a determination on each application not later than the 30th day after the date </w:t>
            </w:r>
            <w:r>
              <w:t>TEDTO</w:t>
            </w:r>
            <w:r w:rsidRPr="002D5140">
              <w:t xml:space="preserve"> receives the application</w:t>
            </w:r>
            <w:r>
              <w:t xml:space="preserve">, </w:t>
            </w:r>
            <w:r>
              <w:t xml:space="preserve">to make </w:t>
            </w:r>
            <w:r w:rsidRPr="002D5140">
              <w:t>application determinations in the order in which applications are received</w:t>
            </w:r>
            <w:r>
              <w:t>,</w:t>
            </w:r>
            <w:r w:rsidRPr="002D5140">
              <w:t xml:space="preserve"> and </w:t>
            </w:r>
            <w:r>
              <w:t>to</w:t>
            </w:r>
            <w:r w:rsidRPr="002D5140">
              <w:t xml:space="preserve"> consider applications received on the same day to be received simultaneously.</w:t>
            </w:r>
            <w:r>
              <w:t xml:space="preserve"> The bill authorizes TEDTO to </w:t>
            </w:r>
            <w:r w:rsidRPr="002D5140">
              <w:t>approve investment authority</w:t>
            </w:r>
            <w:r>
              <w:t xml:space="preserve"> </w:t>
            </w:r>
            <w:r w:rsidRPr="002D5140">
              <w:t>in amounts that would allow not more than $35 million in tax credits to be claimed under</w:t>
            </w:r>
            <w:r>
              <w:t xml:space="preserve"> the bill's provisions in any c</w:t>
            </w:r>
            <w:r>
              <w:t xml:space="preserve">alendar year, excluding any credit carryforwards. </w:t>
            </w:r>
            <w:r>
              <w:t xml:space="preserve">The bill requires TEDTO, if </w:t>
            </w:r>
            <w:r w:rsidRPr="00854FCD">
              <w:t xml:space="preserve">a request for </w:t>
            </w:r>
            <w:r>
              <w:t>investment authority exceeds this</w:t>
            </w:r>
            <w:r w:rsidRPr="00854FCD">
              <w:t xml:space="preserve"> limitation</w:t>
            </w:r>
            <w:r>
              <w:t xml:space="preserve">, to </w:t>
            </w:r>
            <w:r w:rsidRPr="00854FCD">
              <w:t xml:space="preserve">reduce the investment authority and the credit-eligible capital contributions for that application as necessary to </w:t>
            </w:r>
            <w:r w:rsidRPr="00854FCD">
              <w:t>avoid exceeding the limit</w:t>
            </w:r>
            <w:r>
              <w:t xml:space="preserve"> and, if </w:t>
            </w:r>
            <w:r w:rsidRPr="002F5B21">
              <w:t>multiple applications received on the same day request a combined investment authority that exceeds the limit</w:t>
            </w:r>
            <w:r>
              <w:t>,</w:t>
            </w:r>
            <w:r>
              <w:t xml:space="preserve"> to </w:t>
            </w:r>
            <w:r w:rsidRPr="002F5B21">
              <w:t>proportionally reduce the investment authority and the credit</w:t>
            </w:r>
            <w:r>
              <w:noBreakHyphen/>
            </w:r>
            <w:r w:rsidRPr="002F5B21">
              <w:t>eligible capital contributions for those appli</w:t>
            </w:r>
            <w:r w:rsidRPr="002F5B21">
              <w:t>cations as necessary to avoid exceeding the limit.</w:t>
            </w:r>
            <w:r>
              <w:t xml:space="preserve"> The bill prohibits TEDTO from reducing </w:t>
            </w:r>
            <w:r w:rsidRPr="002F5B21">
              <w:t xml:space="preserve">an applicant's investment authority for any reason other than as authorized by </w:t>
            </w:r>
            <w:r w:rsidRPr="002F5B21">
              <w:t>th</w:t>
            </w:r>
            <w:r>
              <w:t xml:space="preserve">ese </w:t>
            </w:r>
            <w:r>
              <w:t>provision</w:t>
            </w:r>
            <w:r>
              <w:t>s</w:t>
            </w:r>
            <w:r>
              <w:t>.</w:t>
            </w:r>
          </w:p>
          <w:p w:rsidR="000821ED" w:rsidRDefault="000609DE" w:rsidP="00BF02D4">
            <w:pPr>
              <w:pStyle w:val="Header"/>
              <w:jc w:val="both"/>
            </w:pPr>
          </w:p>
          <w:p w:rsidR="002F5B21" w:rsidRDefault="000609DE" w:rsidP="00BF02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1000 </w:t>
            </w:r>
            <w:r>
              <w:t>sets</w:t>
            </w:r>
            <w:r>
              <w:t xml:space="preserve"> out the circumstances </w:t>
            </w:r>
            <w:r>
              <w:t xml:space="preserve">under </w:t>
            </w:r>
            <w:r>
              <w:t>which</w:t>
            </w:r>
            <w:r>
              <w:t xml:space="preserve"> </w:t>
            </w:r>
            <w:r>
              <w:t xml:space="preserve">TEDTO </w:t>
            </w:r>
            <w:r>
              <w:t>may</w:t>
            </w:r>
            <w:r>
              <w:t xml:space="preserve"> deny </w:t>
            </w:r>
            <w:r>
              <w:t>an application</w:t>
            </w:r>
            <w:r>
              <w:t>, including if the business plan or revenue impact assessment does not demonstrate a positive economic impact on state and local revenue that will exceed the cumulative amount of tax credits,</w:t>
            </w:r>
            <w:r>
              <w:t xml:space="preserve"> </w:t>
            </w:r>
            <w:r>
              <w:t>and</w:t>
            </w:r>
            <w:r>
              <w:t xml:space="preserve"> authorizes an applicant</w:t>
            </w:r>
            <w:r>
              <w:t xml:space="preserve"> </w:t>
            </w:r>
            <w:r>
              <w:t>whose</w:t>
            </w:r>
            <w:r>
              <w:t xml:space="preserve"> application</w:t>
            </w:r>
            <w:r>
              <w:t xml:space="preserve"> TEDT</w:t>
            </w:r>
            <w:r>
              <w:t>O denies</w:t>
            </w:r>
            <w:r>
              <w:t xml:space="preserve">, </w:t>
            </w:r>
            <w:r w:rsidRPr="001D5CDE">
              <w:t xml:space="preserve">not later than the 15th day after the date </w:t>
            </w:r>
            <w:r>
              <w:t>TEDTO</w:t>
            </w:r>
            <w:r w:rsidRPr="001D5CDE">
              <w:t xml:space="preserve"> provides notice of denial, </w:t>
            </w:r>
            <w:r>
              <w:t xml:space="preserve">to </w:t>
            </w:r>
            <w:r w:rsidRPr="001D5CDE">
              <w:t xml:space="preserve">provide additional information to complete, clarify, or cure defects in the application identified by </w:t>
            </w:r>
            <w:r>
              <w:t>TEDTO</w:t>
            </w:r>
            <w:r w:rsidRPr="001D5CDE">
              <w:t>.</w:t>
            </w:r>
            <w:r>
              <w:t xml:space="preserve"> The bill establishes that if </w:t>
            </w:r>
            <w:r w:rsidRPr="001D5CDE">
              <w:t xml:space="preserve">the applicant </w:t>
            </w:r>
            <w:r>
              <w:t>does so</w:t>
            </w:r>
            <w:r>
              <w:t xml:space="preserve"> during </w:t>
            </w:r>
            <w:r>
              <w:t>the prescribed</w:t>
            </w:r>
            <w:r w:rsidRPr="001D5CDE">
              <w:t xml:space="preserve"> </w:t>
            </w:r>
            <w:r w:rsidRPr="001D5CDE">
              <w:t>period, the application is considered complete as of the original submission date</w:t>
            </w:r>
            <w:r>
              <w:t>, but</w:t>
            </w:r>
            <w:r>
              <w:t xml:space="preserve"> </w:t>
            </w:r>
            <w:r>
              <w:t>otherwise</w:t>
            </w:r>
            <w:r w:rsidRPr="001D5CDE">
              <w:t xml:space="preserve"> the application is finally denied</w:t>
            </w:r>
            <w:r>
              <w:t xml:space="preserve"> and</w:t>
            </w:r>
            <w:r>
              <w:t xml:space="preserve"> an applicant who wishes to reapply </w:t>
            </w:r>
            <w:r>
              <w:t xml:space="preserve">is required </w:t>
            </w:r>
            <w:r>
              <w:t xml:space="preserve">to </w:t>
            </w:r>
            <w:r w:rsidRPr="001D5CDE">
              <w:t>resubmit an application in full with a new submission da</w:t>
            </w:r>
            <w:r w:rsidRPr="001D5CDE">
              <w:t>te.</w:t>
            </w:r>
            <w:r>
              <w:t xml:space="preserve"> The bill </w:t>
            </w:r>
            <w:r>
              <w:t xml:space="preserve">provides for </w:t>
            </w:r>
            <w:r w:rsidRPr="001D5CDE">
              <w:t>review and reconsider</w:t>
            </w:r>
            <w:r>
              <w:t>ation by TEDTO of</w:t>
            </w:r>
            <w:r w:rsidRPr="001D5CDE">
              <w:t xml:space="preserve"> an application for which the applicant provides additional information</w:t>
            </w:r>
            <w:r>
              <w:t>, subject to</w:t>
            </w:r>
            <w:r w:rsidRPr="001D5CDE">
              <w:t xml:space="preserve"> </w:t>
            </w:r>
            <w:r>
              <w:t>certain conditions</w:t>
            </w:r>
            <w:r>
              <w:t>.</w:t>
            </w:r>
            <w:r>
              <w:t xml:space="preserve"> </w:t>
            </w:r>
            <w:r w:rsidRPr="00DD5F1C">
              <w:t>Th</w:t>
            </w:r>
            <w:r>
              <w:t>e</w:t>
            </w:r>
            <w:r w:rsidRPr="00DD5F1C">
              <w:t xml:space="preserve"> </w:t>
            </w:r>
            <w:r>
              <w:t xml:space="preserve">bill's provisions relating to an applicant's submission of additional information </w:t>
            </w:r>
            <w:r>
              <w:t>an</w:t>
            </w:r>
            <w:r>
              <w:t>d to TEDTO review and reconsideration of a denied application expressly</w:t>
            </w:r>
            <w:r w:rsidRPr="00DD5F1C">
              <w:t xml:space="preserve"> do not apply to an application denied as a result of the applicant's failure to submit with the application</w:t>
            </w:r>
            <w:r>
              <w:t xml:space="preserve"> the </w:t>
            </w:r>
            <w:r w:rsidRPr="00DD5F1C">
              <w:t xml:space="preserve">affidavits </w:t>
            </w:r>
            <w:r>
              <w:t>required</w:t>
            </w:r>
            <w:r w:rsidRPr="00DD5F1C">
              <w:t xml:space="preserve"> </w:t>
            </w:r>
            <w:r>
              <w:t>from each committed investor</w:t>
            </w:r>
            <w:r w:rsidRPr="00DD5F1C">
              <w:t>.</w:t>
            </w:r>
          </w:p>
          <w:p w:rsidR="00482B9D" w:rsidRDefault="000609DE" w:rsidP="00BF02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609DE" w:rsidP="00BF02D4">
            <w:pPr>
              <w:pStyle w:val="Header"/>
              <w:jc w:val="both"/>
            </w:pPr>
            <w:r>
              <w:t>C.S.</w:t>
            </w:r>
            <w:r>
              <w:t>H.B. 1000</w:t>
            </w:r>
            <w:r>
              <w:t xml:space="preserve"> require</w:t>
            </w:r>
            <w:r>
              <w:t xml:space="preserve">s TEDTO, on approval of an application, to provide written notice to the applicant of the applicant's approval as a rural and opportunity fund, including the amount of the fund's investment authority, and </w:t>
            </w:r>
            <w:r>
              <w:t xml:space="preserve">to provide </w:t>
            </w:r>
            <w:r>
              <w:t>a tax credit certificate to each investo</w:t>
            </w:r>
            <w:r>
              <w:t xml:space="preserve">r whose affidavit was included in the application and include on the certificate the amount of the investor's credit-eligible capital contribution. The bill requires a rural and opportunity fund, not later than the 60th day after the </w:t>
            </w:r>
            <w:r>
              <w:t xml:space="preserve">date the </w:t>
            </w:r>
            <w:r>
              <w:t>fund receives</w:t>
            </w:r>
            <w:r>
              <w:t xml:space="preserve"> </w:t>
            </w:r>
            <w:r>
              <w:t xml:space="preserve">the </w:t>
            </w:r>
            <w:r>
              <w:t>approval notice, to collect the credit</w:t>
            </w:r>
            <w:r>
              <w:noBreakHyphen/>
            </w:r>
            <w:r>
              <w:t xml:space="preserve">eligible capital contribution from each investor issued a tax credit certificate and </w:t>
            </w:r>
            <w:r>
              <w:t xml:space="preserve">to </w:t>
            </w:r>
            <w:r>
              <w:t>collect one or more investments of cash that, when added to the collected credit-eligible capital contributions, equal the f</w:t>
            </w:r>
            <w:r>
              <w:t xml:space="preserve">und's investment authority. The bill requires </w:t>
            </w:r>
            <w:r>
              <w:t>the</w:t>
            </w:r>
            <w:r>
              <w:t xml:space="preserve"> fund</w:t>
            </w:r>
            <w:r>
              <w:t xml:space="preserve">, not later than the 65th day after the date </w:t>
            </w:r>
            <w:r>
              <w:t xml:space="preserve">the </w:t>
            </w:r>
            <w:r>
              <w:t xml:space="preserve">fund receives </w:t>
            </w:r>
            <w:r>
              <w:t xml:space="preserve">the </w:t>
            </w:r>
            <w:r>
              <w:t xml:space="preserve">approval notice, </w:t>
            </w:r>
            <w:r>
              <w:t xml:space="preserve">to </w:t>
            </w:r>
            <w:r>
              <w:t xml:space="preserve">send to TEDTO </w:t>
            </w:r>
            <w:r w:rsidRPr="00792109">
              <w:t xml:space="preserve">documentation sufficient to prove that the fund has collected the </w:t>
            </w:r>
            <w:r>
              <w:t xml:space="preserve">required </w:t>
            </w:r>
            <w:r w:rsidRPr="00792109">
              <w:t>amounts</w:t>
            </w:r>
            <w:r>
              <w:t xml:space="preserve">. The bill requires at </w:t>
            </w:r>
            <w:r w:rsidRPr="00792109">
              <w:t xml:space="preserve">least 10 percent of the rural and opportunity fund's investment authority </w:t>
            </w:r>
            <w:r>
              <w:t>to</w:t>
            </w:r>
            <w:r w:rsidRPr="00792109">
              <w:t xml:space="preserve"> consist of equity investments contributed directly or indirectly by affiliates of the fund.</w:t>
            </w:r>
            <w:r>
              <w:t xml:space="preserve"> The bill establishes that if </w:t>
            </w:r>
            <w:r w:rsidRPr="001B206F">
              <w:t xml:space="preserve">a fund fails to comply </w:t>
            </w:r>
            <w:r>
              <w:t xml:space="preserve">with </w:t>
            </w:r>
            <w:r>
              <w:t xml:space="preserve">these </w:t>
            </w:r>
            <w:r>
              <w:t>c</w:t>
            </w:r>
            <w:r>
              <w:t xml:space="preserve">ollection and documentation </w:t>
            </w:r>
            <w:r>
              <w:t>requirements</w:t>
            </w:r>
            <w:r w:rsidRPr="001B206F">
              <w:t xml:space="preserve">, the fund's approval lapses and the corresponding investment authority does not count toward the </w:t>
            </w:r>
            <w:r>
              <w:t>prescribed limit</w:t>
            </w:r>
            <w:r>
              <w:t xml:space="preserve"> for total TEDTO approvals</w:t>
            </w:r>
            <w:r>
              <w:t xml:space="preserve">. The bill </w:t>
            </w:r>
            <w:r>
              <w:t xml:space="preserve">provides for the </w:t>
            </w:r>
            <w:r>
              <w:t>redistribution</w:t>
            </w:r>
            <w:r>
              <w:t xml:space="preserve"> of lapsed investment authority</w:t>
            </w:r>
            <w:r>
              <w:t>. T</w:t>
            </w:r>
            <w:r>
              <w:t>he bill requires a</w:t>
            </w:r>
            <w:r w:rsidRPr="001B206F">
              <w:t xml:space="preserve">pplication fees submitted to </w:t>
            </w:r>
            <w:r>
              <w:t>TEDTO</w:t>
            </w:r>
            <w:r w:rsidRPr="001B206F">
              <w:t xml:space="preserve"> </w:t>
            </w:r>
            <w:r>
              <w:t>to</w:t>
            </w:r>
            <w:r w:rsidRPr="001B206F">
              <w:t xml:space="preserve"> be deposited to the credit of the general revenue fund and </w:t>
            </w:r>
            <w:r w:rsidRPr="00724E23">
              <w:t xml:space="preserve">restricts </w:t>
            </w:r>
            <w:r w:rsidRPr="00724E23">
              <w:t>the appropriation</w:t>
            </w:r>
            <w:r w:rsidRPr="00724E23">
              <w:t xml:space="preserve"> of such funds</w:t>
            </w:r>
            <w:r w:rsidRPr="00724E23">
              <w:t xml:space="preserve"> to </w:t>
            </w:r>
            <w:r w:rsidRPr="00724E23">
              <w:t>TEDTO</w:t>
            </w:r>
            <w:r w:rsidRPr="001B206F">
              <w:t xml:space="preserve"> for the purpose of administering </w:t>
            </w:r>
            <w:r>
              <w:t xml:space="preserve">the </w:t>
            </w:r>
            <w:r>
              <w:t>bill's provisions</w:t>
            </w:r>
            <w:r>
              <w:t xml:space="preserve"> relating to rural and opportunity f</w:t>
            </w:r>
            <w:r>
              <w:t>unds</w:t>
            </w:r>
            <w:r>
              <w:t>.</w:t>
            </w:r>
          </w:p>
          <w:p w:rsidR="001D3E66" w:rsidRDefault="000609DE" w:rsidP="00BF02D4">
            <w:pPr>
              <w:pStyle w:val="Header"/>
              <w:jc w:val="both"/>
            </w:pPr>
          </w:p>
          <w:p w:rsidR="001D3E66" w:rsidRDefault="000609DE" w:rsidP="00BF02D4">
            <w:pPr>
              <w:pStyle w:val="Header"/>
              <w:jc w:val="both"/>
            </w:pPr>
            <w:r>
              <w:t xml:space="preserve">C.S.H.B. 1000 </w:t>
            </w:r>
            <w:r>
              <w:t xml:space="preserve">sets out </w:t>
            </w:r>
            <w:r>
              <w:t>certain</w:t>
            </w:r>
            <w:r>
              <w:t xml:space="preserve"> actions and failures to meet investment </w:t>
            </w:r>
            <w:r>
              <w:t xml:space="preserve">targets that constitute grounds </w:t>
            </w:r>
            <w:r>
              <w:t xml:space="preserve">requiring </w:t>
            </w:r>
            <w:r>
              <w:t xml:space="preserve">TEDTO </w:t>
            </w:r>
            <w:r>
              <w:t xml:space="preserve">to </w:t>
            </w:r>
            <w:r w:rsidRPr="008D2AB1">
              <w:t xml:space="preserve">revoke a tax credit certificate issued in connection with an investment in a rural and opportunity fund </w:t>
            </w:r>
            <w:r>
              <w:t>and</w:t>
            </w:r>
            <w:r>
              <w:t xml:space="preserve"> requires TEDTO to n</w:t>
            </w:r>
            <w:r>
              <w:t xml:space="preserve">otify the comptroller </w:t>
            </w:r>
            <w:r>
              <w:t>of public accounts of such a revocation</w:t>
            </w:r>
            <w:r>
              <w:t xml:space="preserve"> and, on request, </w:t>
            </w:r>
            <w:r>
              <w:t xml:space="preserve">to </w:t>
            </w:r>
            <w:r>
              <w:t xml:space="preserve">provide the comptroller with lists of valid and revoked certificates. The bill requires TEDTO, before </w:t>
            </w:r>
            <w:r w:rsidRPr="00453FED">
              <w:t>revoking a certificate</w:t>
            </w:r>
            <w:r>
              <w:t xml:space="preserve">, to </w:t>
            </w:r>
            <w:r w:rsidRPr="00453FED">
              <w:t>notify the fund of the reasons for the pendin</w:t>
            </w:r>
            <w:r w:rsidRPr="00453FED">
              <w:t>g revocation</w:t>
            </w:r>
            <w:r>
              <w:t xml:space="preserve"> and</w:t>
            </w:r>
            <w:r>
              <w:t xml:space="preserve"> authorizes the fund, not later than </w:t>
            </w:r>
            <w:r w:rsidRPr="00453FED">
              <w:t xml:space="preserve">the 90th day after the date the notice is received, </w:t>
            </w:r>
            <w:r>
              <w:t xml:space="preserve">to </w:t>
            </w:r>
            <w:r w:rsidRPr="00453FED">
              <w:t xml:space="preserve">correct any violation outlined in the notice to the satisfaction of </w:t>
            </w:r>
            <w:r>
              <w:t>TEDTO</w:t>
            </w:r>
            <w:r w:rsidRPr="00453FED">
              <w:t xml:space="preserve"> and avoid revocation of the certificate.</w:t>
            </w:r>
            <w:r>
              <w:t xml:space="preserve"> The bill establishes that if </w:t>
            </w:r>
            <w:r w:rsidRPr="00453FED">
              <w:t xml:space="preserve">a tax credit certificate is revoked, the associated investment authority does not count toward the </w:t>
            </w:r>
            <w:r>
              <w:t xml:space="preserve">bill's prescribed </w:t>
            </w:r>
            <w:r w:rsidRPr="00453FED">
              <w:t>limit on total investment authority</w:t>
            </w:r>
            <w:r>
              <w:t xml:space="preserve"> approvals</w:t>
            </w:r>
            <w:r>
              <w:t xml:space="preserve">. The bill </w:t>
            </w:r>
            <w:r>
              <w:t>provides for the redistribution of revoked investment authority</w:t>
            </w:r>
            <w:r w:rsidRPr="00453FED">
              <w:t>.</w:t>
            </w:r>
          </w:p>
          <w:p w:rsidR="00772DB8" w:rsidRDefault="000609DE" w:rsidP="00BF02D4">
            <w:pPr>
              <w:pStyle w:val="Header"/>
              <w:jc w:val="both"/>
            </w:pPr>
          </w:p>
          <w:p w:rsidR="002D6951" w:rsidRDefault="000609DE" w:rsidP="00BF02D4">
            <w:pPr>
              <w:pStyle w:val="Header"/>
              <w:jc w:val="both"/>
            </w:pPr>
            <w:r>
              <w:t>C.S.</w:t>
            </w:r>
            <w:r>
              <w:t>H.B. 1000 aut</w:t>
            </w:r>
            <w:r>
              <w:t xml:space="preserve">horizes </w:t>
            </w:r>
            <w:r w:rsidRPr="00772DB8">
              <w:t>a rural and opportunity fund</w:t>
            </w:r>
            <w:r>
              <w:t xml:space="preserve">, on </w:t>
            </w:r>
            <w:r w:rsidRPr="00772DB8">
              <w:t>or after the sixth anniversary of the closing date,</w:t>
            </w:r>
            <w:r w:rsidRPr="00772DB8">
              <w:t xml:space="preserve"> </w:t>
            </w:r>
            <w:r>
              <w:t>to</w:t>
            </w:r>
            <w:r w:rsidRPr="00772DB8">
              <w:t xml:space="preserve"> apply to </w:t>
            </w:r>
            <w:r>
              <w:t>TEDTO</w:t>
            </w:r>
            <w:r w:rsidRPr="00772DB8">
              <w:t xml:space="preserve"> to exit the program and no longer be subject to regulation under </w:t>
            </w:r>
            <w:r>
              <w:t xml:space="preserve">the bill's provisions. The bill </w:t>
            </w:r>
            <w:r>
              <w:t xml:space="preserve">makes </w:t>
            </w:r>
            <w:r>
              <w:t xml:space="preserve">a fund </w:t>
            </w:r>
            <w:r>
              <w:t xml:space="preserve">eligible </w:t>
            </w:r>
            <w:r>
              <w:t xml:space="preserve">to </w:t>
            </w:r>
            <w:r w:rsidRPr="002D6951">
              <w:t xml:space="preserve">exit the program if no </w:t>
            </w:r>
            <w:r w:rsidRPr="002D6951">
              <w:t>tax credit certificates related to investments in the fund have been revoked and the fund has not received any revocation notice that has not been corrected</w:t>
            </w:r>
            <w:r>
              <w:t xml:space="preserve">. </w:t>
            </w:r>
            <w:r>
              <w:t xml:space="preserve">The bill requires TEDTO to </w:t>
            </w:r>
            <w:r w:rsidRPr="002D6951">
              <w:t>respond to the application not later than the 30th day after receipt</w:t>
            </w:r>
            <w:r>
              <w:t xml:space="preserve">, </w:t>
            </w:r>
            <w:r>
              <w:t>p</w:t>
            </w:r>
            <w:r>
              <w:t>rohibits TEDTO from unreasonably denying an application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requires TEDTO to </w:t>
            </w:r>
            <w:r w:rsidRPr="002D6951">
              <w:t>give the fund notice of a denial and include in the notice the reasons for the denial</w:t>
            </w:r>
            <w:r>
              <w:t xml:space="preserve">. The bill prohibits TEDTO from revoking </w:t>
            </w:r>
            <w:r w:rsidRPr="002D6951">
              <w:t>a tax credit certificate related to an investment i</w:t>
            </w:r>
            <w:r w:rsidRPr="002D6951">
              <w:t>n a fund after the fund's exit from the program.</w:t>
            </w:r>
            <w:r>
              <w:t xml:space="preserve"> The bill subjects a fund to a penalty if the fund authorizes a distribution to the fund's equity holders in an amount that, when added to all previous distributions to the fund's equity holders and any previ</w:t>
            </w:r>
            <w:r>
              <w:t>ous penalties, exceeds the fund's investment authority and</w:t>
            </w:r>
            <w:r>
              <w:t xml:space="preserve"> if</w:t>
            </w:r>
            <w:r>
              <w:t xml:space="preserve"> the fund's actual number of jobs created and retained is less than the fund's estimated number of jobs created and retained. The bill </w:t>
            </w:r>
            <w:r>
              <w:t xml:space="preserve">sets out the method </w:t>
            </w:r>
            <w:r>
              <w:t xml:space="preserve">for </w:t>
            </w:r>
            <w:r>
              <w:t xml:space="preserve">calculating the penalty and </w:t>
            </w:r>
            <w:r>
              <w:t>requires</w:t>
            </w:r>
            <w:r>
              <w:t xml:space="preserve"> the fund, before </w:t>
            </w:r>
            <w:r w:rsidRPr="002D6951">
              <w:t>making a distribution to the fund's equity holders,</w:t>
            </w:r>
            <w:r>
              <w:t xml:space="preserve"> to </w:t>
            </w:r>
            <w:r w:rsidRPr="002D6951">
              <w:t xml:space="preserve">deduct the amount of the penalty from the amount otherwise authorized to be distributed to the equity holders and pay the penalty to </w:t>
            </w:r>
            <w:r>
              <w:t>TEDTO</w:t>
            </w:r>
            <w:r w:rsidRPr="002D6951">
              <w:t>.</w:t>
            </w:r>
            <w:r>
              <w:t xml:space="preserve"> The bill requires TEDTO to </w:t>
            </w:r>
            <w:r w:rsidRPr="002D6951">
              <w:t xml:space="preserve">deposit </w:t>
            </w:r>
            <w:r>
              <w:t xml:space="preserve">such </w:t>
            </w:r>
            <w:r w:rsidRPr="002D6951">
              <w:t>pen</w:t>
            </w:r>
            <w:r w:rsidRPr="002D6951">
              <w:t>alties</w:t>
            </w:r>
            <w:r>
              <w:t xml:space="preserve"> received in the general revenue fund.</w:t>
            </w:r>
          </w:p>
          <w:p w:rsidR="00D22A9E" w:rsidRDefault="000609DE" w:rsidP="00BF02D4">
            <w:pPr>
              <w:pStyle w:val="Header"/>
              <w:jc w:val="both"/>
            </w:pPr>
          </w:p>
          <w:p w:rsidR="001F74B2" w:rsidRDefault="000609DE" w:rsidP="00BF02D4">
            <w:pPr>
              <w:pStyle w:val="Header"/>
              <w:jc w:val="both"/>
            </w:pPr>
            <w:r>
              <w:t>C.S.</w:t>
            </w:r>
            <w:r>
              <w:t xml:space="preserve">H.B. 1000 authorizes a rural and opportunity fund, before making a growth investment, to </w:t>
            </w:r>
            <w:r w:rsidRPr="00D22A9E">
              <w:t xml:space="preserve">request from </w:t>
            </w:r>
            <w:r>
              <w:t>TEDTO</w:t>
            </w:r>
            <w:r w:rsidRPr="00D22A9E">
              <w:t xml:space="preserve"> a written opinion as to whether the business in which the fund proposes to invest qualifies as a t</w:t>
            </w:r>
            <w:r w:rsidRPr="00D22A9E">
              <w:t>argeted small business</w:t>
            </w:r>
            <w:r w:rsidRPr="008C64E0">
              <w:t>.</w:t>
            </w:r>
            <w:r>
              <w:t xml:space="preserve"> </w:t>
            </w:r>
            <w:r>
              <w:t xml:space="preserve">The bill requires TEDTO, not later than the 15th business day after receiving </w:t>
            </w:r>
            <w:r>
              <w:t xml:space="preserve">such a </w:t>
            </w:r>
            <w:r>
              <w:t xml:space="preserve">request, to </w:t>
            </w:r>
            <w:r w:rsidRPr="00D22A9E">
              <w:t>notify the fund of its determination</w:t>
            </w:r>
            <w:r>
              <w:t xml:space="preserve"> and</w:t>
            </w:r>
            <w:r>
              <w:t xml:space="preserve"> establishes that if TEDTO</w:t>
            </w:r>
            <w:r w:rsidRPr="00D22A9E">
              <w:t xml:space="preserve"> fails to </w:t>
            </w:r>
            <w:r>
              <w:t>provide that notification</w:t>
            </w:r>
            <w:r w:rsidRPr="00D22A9E">
              <w:t xml:space="preserve"> on or before </w:t>
            </w:r>
            <w:r>
              <w:t xml:space="preserve">that </w:t>
            </w:r>
            <w:r>
              <w:t>date</w:t>
            </w:r>
            <w:r w:rsidRPr="00D22A9E">
              <w:t xml:space="preserve">, the business in which the fund proposes to invest is considered to be a targeted small business for purposes of </w:t>
            </w:r>
            <w:r>
              <w:t xml:space="preserve">the bill's provisions. The bill requires a rural and opportunity fund to submit a report to TEDTO on or before </w:t>
            </w:r>
            <w:r w:rsidRPr="00D22A9E">
              <w:t>the fifth business day after ea</w:t>
            </w:r>
            <w:r w:rsidRPr="00D22A9E">
              <w:t>ch anniversary of the closing date until the fund has exited the program</w:t>
            </w:r>
            <w:r>
              <w:t xml:space="preserve"> and sets out the contents of the report</w:t>
            </w:r>
            <w:r w:rsidRPr="00017248">
              <w:t>.</w:t>
            </w:r>
            <w:r>
              <w:t xml:space="preserve"> </w:t>
            </w:r>
          </w:p>
          <w:p w:rsidR="001F74B2" w:rsidRDefault="000609DE" w:rsidP="00BF02D4">
            <w:pPr>
              <w:pStyle w:val="Header"/>
              <w:jc w:val="both"/>
            </w:pPr>
          </w:p>
          <w:p w:rsidR="00FA3ABE" w:rsidRDefault="000609DE" w:rsidP="00BF02D4">
            <w:pPr>
              <w:pStyle w:val="Header"/>
              <w:jc w:val="both"/>
            </w:pPr>
            <w:r>
              <w:t>C.S.H.B. 1000</w:t>
            </w:r>
            <w:r>
              <w:t xml:space="preserve"> requires TEDTO, before the beginning of the 90th Legislature, Regular Session, to submit to the lieutenant governor, the speak</w:t>
            </w:r>
            <w:r>
              <w:t xml:space="preserve">er of the house of representatives, and each member of the legislature a report on the economic benefits of </w:t>
            </w:r>
            <w:r w:rsidRPr="006F1D2B">
              <w:t xml:space="preserve">the </w:t>
            </w:r>
            <w:r w:rsidRPr="006F1D2B">
              <w:t>rural and opportunity funds</w:t>
            </w:r>
            <w:r>
              <w:t>. The bill</w:t>
            </w:r>
            <w:r>
              <w:t xml:space="preserve"> requires </w:t>
            </w:r>
            <w:r>
              <w:t>the report</w:t>
            </w:r>
            <w:r>
              <w:t xml:space="preserve"> to include an assessment of the following:</w:t>
            </w:r>
          </w:p>
          <w:p w:rsidR="00FA3ABE" w:rsidRDefault="000609DE" w:rsidP="00BF02D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aggregate effects of growth investments</w:t>
            </w:r>
            <w:r>
              <w:t xml:space="preserve"> made under the bill's provisions, </w:t>
            </w:r>
            <w:r w:rsidRPr="006F1D2B">
              <w:t xml:space="preserve">including specified </w:t>
            </w:r>
            <w:r w:rsidRPr="006F1D2B">
              <w:t>metrics</w:t>
            </w:r>
            <w:r>
              <w:t>;</w:t>
            </w:r>
          </w:p>
          <w:p w:rsidR="00FA3ABE" w:rsidRDefault="000609DE" w:rsidP="00BF02D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benefits to the state from cost savings attributable to jobs created and retained by all targeted small businesses</w:t>
            </w:r>
            <w:r w:rsidRPr="006F1D2B">
              <w:t xml:space="preserve">, including savings </w:t>
            </w:r>
            <w:r>
              <w:t>for</w:t>
            </w:r>
            <w:r w:rsidRPr="006F1D2B">
              <w:t xml:space="preserve"> specified programs</w:t>
            </w:r>
            <w:r>
              <w:t>; and</w:t>
            </w:r>
          </w:p>
          <w:p w:rsidR="00FA3ABE" w:rsidRDefault="000609DE" w:rsidP="00BF02D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FA3ABE">
              <w:t xml:space="preserve">the total positive fiscal </w:t>
            </w:r>
            <w:r w:rsidRPr="00FA3ABE">
              <w:t>effect</w:t>
            </w:r>
            <w:r>
              <w:t xml:space="preserve"> of those benefits</w:t>
            </w:r>
            <w:r w:rsidRPr="00FA3ABE">
              <w:t xml:space="preserve"> on </w:t>
            </w:r>
            <w:r>
              <w:t>the state</w:t>
            </w:r>
            <w:r w:rsidRPr="00FA3ABE">
              <w:t xml:space="preserve"> and local governments in </w:t>
            </w:r>
            <w:r>
              <w:t>Texas.</w:t>
            </w:r>
          </w:p>
          <w:p w:rsidR="005768A7" w:rsidRDefault="000609DE" w:rsidP="00BF02D4">
            <w:pPr>
              <w:pStyle w:val="Header"/>
              <w:jc w:val="both"/>
            </w:pPr>
            <w:r>
              <w:t>The bill prohibits the report from including information that is confidential by law</w:t>
            </w:r>
            <w:r>
              <w:t xml:space="preserve">. The bill requires </w:t>
            </w:r>
            <w:r>
              <w:t>the</w:t>
            </w:r>
            <w:r>
              <w:t xml:space="preserve"> portion of the report</w:t>
            </w:r>
            <w:r>
              <w:t xml:space="preserve"> relating to the aggregate effects of growth investments</w:t>
            </w:r>
            <w:r>
              <w:t xml:space="preserve"> </w:t>
            </w:r>
            <w:r>
              <w:t xml:space="preserve">to </w:t>
            </w:r>
            <w:r>
              <w:t>be based on data submitted to TEDTO by each rural and opportunity fund</w:t>
            </w:r>
            <w:r>
              <w:t xml:space="preserve"> and requires the use of </w:t>
            </w:r>
            <w:r w:rsidRPr="006F1D2B">
              <w:t>certain estimation techniques</w:t>
            </w:r>
            <w:r>
              <w:t xml:space="preserve"> in the preparation of that portion of the report</w:t>
            </w:r>
            <w:r>
              <w:t xml:space="preserve">. </w:t>
            </w:r>
            <w:r>
              <w:t xml:space="preserve">The bill </w:t>
            </w:r>
            <w:r>
              <w:t xml:space="preserve">prohibits TEDTO from accepting </w:t>
            </w:r>
            <w:r w:rsidRPr="001A6ACC">
              <w:t xml:space="preserve">applications </w:t>
            </w:r>
            <w:r w:rsidRPr="001A6ACC">
              <w:t xml:space="preserve">for approval </w:t>
            </w:r>
            <w:r w:rsidRPr="00184A62">
              <w:t xml:space="preserve">of rural </w:t>
            </w:r>
            <w:r w:rsidRPr="008F4379">
              <w:t xml:space="preserve">and </w:t>
            </w:r>
            <w:r w:rsidRPr="008F4379">
              <w:t>opportunity funds</w:t>
            </w:r>
            <w:r>
              <w:t xml:space="preserve"> after January 1, 2022, unless the total positive </w:t>
            </w:r>
            <w:r>
              <w:t xml:space="preserve">fiscal effects described by </w:t>
            </w:r>
            <w:r w:rsidRPr="00A07F88">
              <w:t>the</w:t>
            </w:r>
            <w:r w:rsidRPr="005768A7">
              <w:t xml:space="preserve"> report</w:t>
            </w:r>
            <w:r>
              <w:t xml:space="preserve"> exceed the sum of all tax credit certificates issued by TEDTO under the bill's provisions. The bill requires TEDTO to resume accepting application</w:t>
            </w:r>
            <w:r>
              <w:t xml:space="preserve">s when this condition is satisfied. </w:t>
            </w:r>
          </w:p>
          <w:p w:rsidR="005768A7" w:rsidRDefault="000609DE" w:rsidP="00BF02D4">
            <w:pPr>
              <w:pStyle w:val="Header"/>
              <w:jc w:val="both"/>
            </w:pPr>
          </w:p>
          <w:p w:rsidR="00D22A9E" w:rsidRDefault="000609DE" w:rsidP="00BF02D4">
            <w:pPr>
              <w:pStyle w:val="Header"/>
              <w:jc w:val="both"/>
            </w:pPr>
            <w:r>
              <w:t>C.S.H.B. 1000</w:t>
            </w:r>
            <w:r>
              <w:t xml:space="preserve"> requires TEDTO </w:t>
            </w:r>
            <w:r w:rsidRPr="006B219B">
              <w:t>to adopt rules necessary to implement the bill's provisions</w:t>
            </w:r>
            <w:r>
              <w:t xml:space="preserve"> relating to rural and opportunity funds</w:t>
            </w:r>
            <w:r>
              <w:t xml:space="preserve"> and</w:t>
            </w:r>
            <w:r w:rsidRPr="008C64E0">
              <w:t xml:space="preserve"> requires TEDTO to begin accepting applications for approval </w:t>
            </w:r>
            <w:r>
              <w:t>of</w:t>
            </w:r>
            <w:r>
              <w:t xml:space="preserve"> such</w:t>
            </w:r>
            <w:r w:rsidRPr="008C64E0">
              <w:t xml:space="preserve"> funds not later t</w:t>
            </w:r>
            <w:r w:rsidRPr="008C64E0">
              <w:t>han January 1, 2020.</w:t>
            </w:r>
          </w:p>
          <w:p w:rsidR="00326F9F" w:rsidRDefault="000609DE" w:rsidP="00BF02D4">
            <w:pPr>
              <w:pStyle w:val="Header"/>
              <w:jc w:val="both"/>
            </w:pPr>
          </w:p>
          <w:p w:rsidR="00A23F4E" w:rsidRDefault="000609DE" w:rsidP="00BF02D4">
            <w:pPr>
              <w:pStyle w:val="Header"/>
              <w:jc w:val="both"/>
            </w:pPr>
            <w:r>
              <w:t>C.S.</w:t>
            </w:r>
            <w:r>
              <w:t xml:space="preserve">H.B. 1000 amends the Insurance Code to </w:t>
            </w:r>
            <w:r>
              <w:t xml:space="preserve">make </w:t>
            </w:r>
            <w:r>
              <w:t>an entity eligibl</w:t>
            </w:r>
            <w:r>
              <w:t>e</w:t>
            </w:r>
            <w:r>
              <w:t xml:space="preserve"> for </w:t>
            </w:r>
            <w:r w:rsidRPr="00326F9F">
              <w:t xml:space="preserve">a credit against the entity's state insurance tax liability </w:t>
            </w:r>
            <w:r>
              <w:t xml:space="preserve">for a tax year if the entity holds a tax credit certificate issued by TEDTO </w:t>
            </w:r>
            <w:r>
              <w:t>as an investor in a rural a</w:t>
            </w:r>
            <w:r>
              <w:t>nd opportunity fund</w:t>
            </w:r>
            <w:r>
              <w:t xml:space="preserve"> and the third, fourth, fifth, or sixth anniversary of the closing date in connection with which the certificate was issued occurs during the tax year. The bill </w:t>
            </w:r>
            <w:r>
              <w:t>sets</w:t>
            </w:r>
            <w:r>
              <w:t xml:space="preserve"> the </w:t>
            </w:r>
            <w:r w:rsidRPr="00326F9F">
              <w:t xml:space="preserve">amount of </w:t>
            </w:r>
            <w:r>
              <w:t xml:space="preserve">the </w:t>
            </w:r>
            <w:r w:rsidRPr="00326F9F">
              <w:t xml:space="preserve">credit for a tax year </w:t>
            </w:r>
            <w:r>
              <w:t>at</w:t>
            </w:r>
            <w:r w:rsidRPr="00326F9F">
              <w:t xml:space="preserve"> 25 percent of the amount of </w:t>
            </w:r>
            <w:r w:rsidRPr="00326F9F">
              <w:t>the credit-eligible capital contribution state</w:t>
            </w:r>
            <w:r>
              <w:t xml:space="preserve">d on the tax credit certificate. The bill prohibits the </w:t>
            </w:r>
            <w:r w:rsidRPr="00326F9F">
              <w:t xml:space="preserve">total credit claimed for a tax year, including the amount of any carryforward, </w:t>
            </w:r>
            <w:r>
              <w:t>from exceeding</w:t>
            </w:r>
            <w:r w:rsidRPr="00326F9F">
              <w:t xml:space="preserve"> the amount of state insurance tax liability due for the enti</w:t>
            </w:r>
            <w:r w:rsidRPr="00326F9F">
              <w:t>ty for the tax year after applying all other applicable tax credits</w:t>
            </w:r>
            <w:r>
              <w:t xml:space="preserve"> and</w:t>
            </w:r>
            <w:r>
              <w:t xml:space="preserve"> authorizes credits to be applied </w:t>
            </w:r>
            <w:r w:rsidRPr="00C965E2">
              <w:t>to the entity's estimated or final tax payments for the tax year.</w:t>
            </w:r>
            <w:r>
              <w:t xml:space="preserve"> The bill authorizes </w:t>
            </w:r>
            <w:r w:rsidRPr="00C965E2">
              <w:t xml:space="preserve">an entity </w:t>
            </w:r>
            <w:r>
              <w:t xml:space="preserve">that </w:t>
            </w:r>
            <w:r w:rsidRPr="00C965E2">
              <w:t>is eligib</w:t>
            </w:r>
            <w:r>
              <w:t>le for a credit that exceeds th</w:t>
            </w:r>
            <w:r>
              <w:t>e</w:t>
            </w:r>
            <w:r w:rsidRPr="00C965E2">
              <w:t xml:space="preserve"> limitation</w:t>
            </w:r>
            <w:r>
              <w:t xml:space="preserve"> on </w:t>
            </w:r>
            <w:r>
              <w:t>total credit claimed per tax year</w:t>
            </w:r>
            <w:r>
              <w:t xml:space="preserve"> </w:t>
            </w:r>
            <w:r>
              <w:t xml:space="preserve">to </w:t>
            </w:r>
            <w:r w:rsidRPr="00C965E2">
              <w:t>carry the unused credit forward for not more than 20 consecutive tax reports</w:t>
            </w:r>
            <w:r>
              <w:t xml:space="preserve"> and establishes that</w:t>
            </w:r>
            <w:r>
              <w:t xml:space="preserve"> a</w:t>
            </w:r>
            <w:r w:rsidRPr="007E1A30">
              <w:t xml:space="preserve"> credit carryforward</w:t>
            </w:r>
            <w:r>
              <w:t xml:space="preserve"> is considered to be used before</w:t>
            </w:r>
            <w:r w:rsidRPr="007E1A30">
              <w:t xml:space="preserve"> a current year credit</w:t>
            </w:r>
            <w:r>
              <w:t xml:space="preserve">. The bill prohibits an entity </w:t>
            </w:r>
            <w:r>
              <w:t xml:space="preserve">from conveying, assigning, or transferring allowed credit to another entity, except </w:t>
            </w:r>
            <w:r w:rsidRPr="00C965E2">
              <w:t>to an affiliate of the entity that is subject to state insurance tax liability.</w:t>
            </w:r>
            <w:r>
              <w:t xml:space="preserve"> The bill establishes that an </w:t>
            </w:r>
            <w:r w:rsidRPr="00C965E2">
              <w:t xml:space="preserve">entity claiming </w:t>
            </w:r>
            <w:r w:rsidRPr="000E5C9B">
              <w:t>a credit</w:t>
            </w:r>
            <w:r>
              <w:t xml:space="preserve"> under the bill's provisions</w:t>
            </w:r>
            <w:r w:rsidRPr="00C965E2">
              <w:t xml:space="preserve"> is not req</w:t>
            </w:r>
            <w:r w:rsidRPr="00C965E2">
              <w:t>uired to pay any additional retaliatory tax as a result of claiming that credit.</w:t>
            </w:r>
            <w:r>
              <w:t xml:space="preserve"> The bill requires the comptroller to </w:t>
            </w:r>
            <w:r w:rsidRPr="0070192B">
              <w:t xml:space="preserve">recapture the amount of a credit claimed on a tax report filed under </w:t>
            </w:r>
            <w:r w:rsidRPr="000E5C9B">
              <w:t xml:space="preserve">certain statutory provisions </w:t>
            </w:r>
            <w:r w:rsidRPr="0070192B">
              <w:t>from an entity if the tax credit certifi</w:t>
            </w:r>
            <w:r w:rsidRPr="0070192B">
              <w:t xml:space="preserve">cate on which the credit is based is revoked under </w:t>
            </w:r>
            <w:r>
              <w:t>the bill's provisions.</w:t>
            </w:r>
            <w:r>
              <w:t xml:space="preserve"> The bill</w:t>
            </w:r>
            <w:r>
              <w:t xml:space="preserve"> requires the comptroller to adopt rules necessary to implement the bill</w:t>
            </w:r>
            <w:r>
              <w:t xml:space="preserve">'s provisions relating to insurance tax credit </w:t>
            </w:r>
            <w:r>
              <w:t xml:space="preserve">and establishes that those provisions </w:t>
            </w:r>
            <w:r>
              <w:t>apply only to a t</w:t>
            </w:r>
            <w:r>
              <w:t>ax report originally due on or after January 1, 2020.</w:t>
            </w:r>
          </w:p>
          <w:p w:rsidR="00772DB8" w:rsidRPr="008D2AB1" w:rsidRDefault="000609DE" w:rsidP="00BF02D4">
            <w:pPr>
              <w:pStyle w:val="Header"/>
              <w:jc w:val="both"/>
              <w:rPr>
                <w:b/>
              </w:rPr>
            </w:pPr>
          </w:p>
        </w:tc>
      </w:tr>
      <w:tr w:rsidR="00E75689" w:rsidTr="001C7B59">
        <w:tc>
          <w:tcPr>
            <w:tcW w:w="9576" w:type="dxa"/>
          </w:tcPr>
          <w:p w:rsidR="008423E4" w:rsidRPr="00A8133F" w:rsidRDefault="000609DE" w:rsidP="00BF02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09DE" w:rsidP="00BF02D4"/>
          <w:p w:rsidR="008423E4" w:rsidRPr="003624F2" w:rsidRDefault="000609DE" w:rsidP="00BF02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609DE" w:rsidP="00BF02D4">
            <w:pPr>
              <w:rPr>
                <w:b/>
              </w:rPr>
            </w:pPr>
          </w:p>
        </w:tc>
      </w:tr>
      <w:tr w:rsidR="00E75689" w:rsidTr="001C7B59">
        <w:tc>
          <w:tcPr>
            <w:tcW w:w="9576" w:type="dxa"/>
          </w:tcPr>
          <w:p w:rsidR="002908FB" w:rsidRDefault="000609DE" w:rsidP="002908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B6314" w:rsidRPr="002908FB" w:rsidRDefault="000609DE" w:rsidP="002908FB">
            <w:pPr>
              <w:jc w:val="both"/>
              <w:rPr>
                <w:b/>
                <w:u w:val="single"/>
              </w:rPr>
            </w:pPr>
          </w:p>
        </w:tc>
      </w:tr>
      <w:tr w:rsidR="00E75689" w:rsidTr="001C7B59">
        <w:tc>
          <w:tcPr>
            <w:tcW w:w="9576" w:type="dxa"/>
          </w:tcPr>
          <w:p w:rsidR="00846D3B" w:rsidRDefault="000609DE" w:rsidP="00846D3B">
            <w:pPr>
              <w:jc w:val="both"/>
            </w:pPr>
            <w:r>
              <w:t>While C.S.H.B. 1000 may differ from the original in minor or nonsubstantive ways, the following summarizes the substantial</w:t>
            </w:r>
            <w:r>
              <w:t xml:space="preserve"> differences between the introduced and committee substitute versions of the bill.</w:t>
            </w:r>
          </w:p>
          <w:p w:rsidR="00846D3B" w:rsidRDefault="000609DE" w:rsidP="00846D3B">
            <w:pPr>
              <w:jc w:val="both"/>
            </w:pPr>
          </w:p>
          <w:p w:rsidR="00846D3B" w:rsidRDefault="000609DE" w:rsidP="00846D3B">
            <w:pPr>
              <w:jc w:val="both"/>
            </w:pPr>
            <w:r>
              <w:t xml:space="preserve">The substitute includes provisions requiring TEDTO to report to the legislature before the beginning of the 90th Legislature, Regular Session, </w:t>
            </w:r>
            <w:r w:rsidRPr="008F4379">
              <w:t xml:space="preserve">regarding the </w:t>
            </w:r>
            <w:r>
              <w:t>economic benefi</w:t>
            </w:r>
            <w:r>
              <w:t>ts</w:t>
            </w:r>
            <w:r w:rsidRPr="008F4379">
              <w:t xml:space="preserve"> of the fund program</w:t>
            </w:r>
            <w:r>
              <w:t xml:space="preserve"> and making TEDTO's authority to accept applications after January 1, 2022, </w:t>
            </w:r>
            <w:r w:rsidRPr="001A6ACC">
              <w:t>contingent on</w:t>
            </w:r>
            <w:r>
              <w:t xml:space="preserve"> the</w:t>
            </w:r>
            <w:r w:rsidRPr="001A6ACC">
              <w:t xml:space="preserve"> </w:t>
            </w:r>
            <w:r>
              <w:t>total positive fiscal effects of the program exceeding the sum of all tax credit certificates issued under the program.</w:t>
            </w:r>
          </w:p>
          <w:p w:rsidR="00846D3B" w:rsidRDefault="000609DE" w:rsidP="00846D3B">
            <w:pPr>
              <w:jc w:val="both"/>
            </w:pPr>
          </w:p>
          <w:p w:rsidR="00846D3B" w:rsidRDefault="000609DE" w:rsidP="00846D3B">
            <w:pPr>
              <w:jc w:val="both"/>
            </w:pPr>
            <w:r>
              <w:t>The substitute incl</w:t>
            </w:r>
            <w:r>
              <w:t>udes a specification that a rural community considered to be a qualified area for purposes of fund investments is not a geographic area delineated as urbanized by the U.S. Census Bureau.</w:t>
            </w:r>
          </w:p>
          <w:p w:rsidR="00846D3B" w:rsidRDefault="000609DE" w:rsidP="00846D3B">
            <w:pPr>
              <w:jc w:val="both"/>
            </w:pPr>
          </w:p>
          <w:p w:rsidR="00846D3B" w:rsidRDefault="000609DE" w:rsidP="000D5A01">
            <w:pPr>
              <w:jc w:val="both"/>
            </w:pPr>
            <w:r>
              <w:t>The substitute revises certain details relating to the amount and lo</w:t>
            </w:r>
            <w:r>
              <w:t xml:space="preserve">cation of the required </w:t>
            </w:r>
            <w:r w:rsidRPr="001A6ACC">
              <w:t>investment</w:t>
            </w:r>
            <w:r w:rsidRPr="00184A62">
              <w:t xml:space="preserve"> </w:t>
            </w:r>
            <w:r w:rsidRPr="008F4379">
              <w:t>experience</w:t>
            </w:r>
            <w:r>
              <w:t xml:space="preserve"> of an applicant seeking approval as a fund.</w:t>
            </w:r>
          </w:p>
          <w:p w:rsidR="00846D3B" w:rsidRDefault="000609DE" w:rsidP="000D5A01">
            <w:pPr>
              <w:jc w:val="both"/>
            </w:pPr>
          </w:p>
          <w:p w:rsidR="00846D3B" w:rsidRDefault="000609DE" w:rsidP="000D5A01">
            <w:pPr>
              <w:jc w:val="both"/>
            </w:pPr>
            <w:r>
              <w:t xml:space="preserve">The substitute changes </w:t>
            </w:r>
            <w:r w:rsidRPr="008F4379">
              <w:t>the</w:t>
            </w:r>
            <w:r w:rsidRPr="00EE2A37">
              <w:t xml:space="preserve"> </w:t>
            </w:r>
            <w:r>
              <w:t>percentage</w:t>
            </w:r>
            <w:r w:rsidRPr="008F4379">
              <w:t xml:space="preserve"> of </w:t>
            </w:r>
            <w:r w:rsidRPr="00EE2A37">
              <w:t xml:space="preserve">a fund's investment authority that the fund must invest </w:t>
            </w:r>
            <w:r>
              <w:t xml:space="preserve">in certain targeted small businesses </w:t>
            </w:r>
            <w:r w:rsidRPr="008F4379">
              <w:t xml:space="preserve">by certain deadlines to prevent </w:t>
            </w:r>
            <w:r w:rsidRPr="008F4379">
              <w:t>the revocation of the fund's tax credit certificate</w:t>
            </w:r>
            <w:r>
              <w:t xml:space="preserve"> and the location of those targeted small businesses</w:t>
            </w:r>
            <w:r w:rsidRPr="008F4379">
              <w:t>.</w:t>
            </w:r>
            <w:r>
              <w:t xml:space="preserve"> </w:t>
            </w:r>
          </w:p>
          <w:p w:rsidR="00846D3B" w:rsidRDefault="000609DE" w:rsidP="00846D3B">
            <w:pPr>
              <w:jc w:val="both"/>
            </w:pPr>
          </w:p>
          <w:p w:rsidR="00B56479" w:rsidRPr="009C1E9A" w:rsidRDefault="000609DE" w:rsidP="00846D3B">
            <w:pPr>
              <w:rPr>
                <w:b/>
                <w:u w:val="single"/>
              </w:rPr>
            </w:pPr>
            <w:r>
              <w:t>The substitute expands the requirement that a fund's annual report to TEDTO include the average annual salary of jobs created and retained as a resul</w:t>
            </w:r>
            <w:r>
              <w:t>t of fund investments by also requiring</w:t>
            </w:r>
            <w:r w:rsidRPr="008F4379">
              <w:t xml:space="preserve"> the </w:t>
            </w:r>
            <w:r w:rsidRPr="00EE2A37">
              <w:t>report to include</w:t>
            </w:r>
            <w:r>
              <w:t xml:space="preserve"> evidence of any other monetary or social benefit to the state as a result of those jobs.</w:t>
            </w:r>
          </w:p>
        </w:tc>
      </w:tr>
      <w:tr w:rsidR="00E75689" w:rsidTr="001C7B59">
        <w:tc>
          <w:tcPr>
            <w:tcW w:w="9576" w:type="dxa"/>
          </w:tcPr>
          <w:p w:rsidR="00B56479" w:rsidRPr="002908FB" w:rsidRDefault="000609DE" w:rsidP="002908FB">
            <w:pPr>
              <w:spacing w:line="480" w:lineRule="auto"/>
              <w:jc w:val="both"/>
            </w:pPr>
          </w:p>
        </w:tc>
      </w:tr>
      <w:tr w:rsidR="00E75689" w:rsidTr="001C7B59">
        <w:tc>
          <w:tcPr>
            <w:tcW w:w="9576" w:type="dxa"/>
          </w:tcPr>
          <w:p w:rsidR="002908FB" w:rsidRPr="00B56479" w:rsidRDefault="000609DE" w:rsidP="00BF02D4">
            <w:pPr>
              <w:jc w:val="both"/>
            </w:pPr>
          </w:p>
        </w:tc>
      </w:tr>
      <w:tr w:rsidR="00E75689" w:rsidTr="001C7B59">
        <w:tc>
          <w:tcPr>
            <w:tcW w:w="9576" w:type="dxa"/>
          </w:tcPr>
          <w:p w:rsidR="002908FB" w:rsidRPr="00B56479" w:rsidRDefault="000609DE" w:rsidP="00BF02D4">
            <w:pPr>
              <w:jc w:val="both"/>
            </w:pPr>
          </w:p>
        </w:tc>
      </w:tr>
      <w:tr w:rsidR="00E75689" w:rsidTr="001C7B59">
        <w:tc>
          <w:tcPr>
            <w:tcW w:w="9576" w:type="dxa"/>
          </w:tcPr>
          <w:p w:rsidR="002908FB" w:rsidRPr="00B56479" w:rsidRDefault="000609DE" w:rsidP="00BF02D4">
            <w:pPr>
              <w:jc w:val="both"/>
            </w:pPr>
          </w:p>
        </w:tc>
      </w:tr>
    </w:tbl>
    <w:p w:rsidR="008423E4" w:rsidRPr="00BE0E75" w:rsidRDefault="000609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09D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09DE">
      <w:r>
        <w:separator/>
      </w:r>
    </w:p>
  </w:endnote>
  <w:endnote w:type="continuationSeparator" w:id="0">
    <w:p w:rsidR="00000000" w:rsidRDefault="0006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59" w:rsidRDefault="00060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5689" w:rsidTr="009C1E9A">
      <w:trPr>
        <w:cantSplit/>
      </w:trPr>
      <w:tc>
        <w:tcPr>
          <w:tcW w:w="0" w:type="pct"/>
        </w:tcPr>
        <w:p w:rsidR="001C7B59" w:rsidRDefault="000609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C7B59" w:rsidRDefault="000609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C7B59" w:rsidRDefault="000609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C7B59" w:rsidRDefault="000609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C7B59" w:rsidRDefault="000609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5689" w:rsidTr="009C1E9A">
      <w:trPr>
        <w:cantSplit/>
      </w:trPr>
      <w:tc>
        <w:tcPr>
          <w:tcW w:w="0" w:type="pct"/>
        </w:tcPr>
        <w:p w:rsidR="001C7B59" w:rsidRDefault="000609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C7B59" w:rsidRPr="009C1E9A" w:rsidRDefault="000609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24254</w:t>
          </w:r>
        </w:p>
      </w:tc>
      <w:tc>
        <w:tcPr>
          <w:tcW w:w="2453" w:type="pct"/>
        </w:tcPr>
        <w:p w:rsidR="001C7B59" w:rsidRDefault="000609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19.93.939</w:t>
          </w:r>
          <w:r>
            <w:fldChar w:fldCharType="end"/>
          </w:r>
        </w:p>
      </w:tc>
    </w:tr>
    <w:tr w:rsidR="00E75689" w:rsidTr="009C1E9A">
      <w:trPr>
        <w:cantSplit/>
      </w:trPr>
      <w:tc>
        <w:tcPr>
          <w:tcW w:w="0" w:type="pct"/>
        </w:tcPr>
        <w:p w:rsidR="001C7B59" w:rsidRDefault="000609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1C7B59" w:rsidRPr="009C1E9A" w:rsidRDefault="000609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16954</w:t>
          </w:r>
        </w:p>
      </w:tc>
      <w:tc>
        <w:tcPr>
          <w:tcW w:w="2453" w:type="pct"/>
        </w:tcPr>
        <w:p w:rsidR="001C7B59" w:rsidRDefault="000609DE" w:rsidP="006D504F">
          <w:pPr>
            <w:pStyle w:val="Footer"/>
            <w:rPr>
              <w:rStyle w:val="PageNumber"/>
            </w:rPr>
          </w:pPr>
        </w:p>
        <w:p w:rsidR="001C7B59" w:rsidRDefault="000609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5689" w:rsidTr="009C1E9A">
      <w:trPr>
        <w:cantSplit/>
        <w:trHeight w:val="323"/>
      </w:trPr>
      <w:tc>
        <w:tcPr>
          <w:tcW w:w="0" w:type="pct"/>
          <w:gridSpan w:val="3"/>
        </w:tcPr>
        <w:p w:rsidR="001C7B59" w:rsidRDefault="000609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  <w:p w:rsidR="001C7B59" w:rsidRDefault="000609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1C7B59" w:rsidRPr="00FF6F72" w:rsidRDefault="000609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59" w:rsidRDefault="0006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09DE">
      <w:r>
        <w:separator/>
      </w:r>
    </w:p>
  </w:footnote>
  <w:footnote w:type="continuationSeparator" w:id="0">
    <w:p w:rsidR="00000000" w:rsidRDefault="0006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59" w:rsidRDefault="00060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59" w:rsidRDefault="00060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59" w:rsidRDefault="00060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E40"/>
    <w:multiLevelType w:val="hybridMultilevel"/>
    <w:tmpl w:val="57D28FFC"/>
    <w:lvl w:ilvl="0" w:tplc="2640E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A2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E1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49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44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06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6C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5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4B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783A"/>
    <w:multiLevelType w:val="hybridMultilevel"/>
    <w:tmpl w:val="415A6538"/>
    <w:lvl w:ilvl="0" w:tplc="F8AED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61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63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4D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68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C3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4F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E0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26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60D2"/>
    <w:multiLevelType w:val="hybridMultilevel"/>
    <w:tmpl w:val="49CA5AF2"/>
    <w:lvl w:ilvl="0" w:tplc="9CFAA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44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62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6E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EE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28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05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E8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09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402CC"/>
    <w:multiLevelType w:val="hybridMultilevel"/>
    <w:tmpl w:val="C74C43D4"/>
    <w:lvl w:ilvl="0" w:tplc="211C7B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97622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62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C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A9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2F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62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6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45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9"/>
    <w:rsid w:val="000609DE"/>
    <w:rsid w:val="00E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9C2D0F-945B-4699-B3E1-2B1096F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6F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6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F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6F9F"/>
    <w:rPr>
      <w:b/>
      <w:bCs/>
    </w:rPr>
  </w:style>
  <w:style w:type="character" w:styleId="Hyperlink">
    <w:name w:val="Hyperlink"/>
    <w:basedOn w:val="DefaultParagraphFont"/>
    <w:unhideWhenUsed/>
    <w:rsid w:val="00A97A1E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823275"/>
  </w:style>
  <w:style w:type="paragraph" w:styleId="ListParagraph">
    <w:name w:val="List Paragraph"/>
    <w:basedOn w:val="Normal"/>
    <w:uiPriority w:val="34"/>
    <w:qFormat/>
    <w:rsid w:val="0033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2861</Words>
  <Characters>15166</Characters>
  <Application>Microsoft Office Word</Application>
  <DocSecurity>4</DocSecurity>
  <Lines>251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HB01000 (Committee Report (Substituted))</vt:lpstr>
    </vt:vector>
  </TitlesOfParts>
  <Company>State of Texas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24254</dc:subject>
  <dc:creator>State of Texas</dc:creator>
  <dc:description>HB 1000 by Paddie-(H)International Relations &amp; Economic Development (Substitute Document Number: 86R 16954)</dc:description>
  <cp:lastModifiedBy>Scotty Wimberley</cp:lastModifiedBy>
  <cp:revision>2</cp:revision>
  <cp:lastPrinted>2019-02-13T17:47:00Z</cp:lastPrinted>
  <dcterms:created xsi:type="dcterms:W3CDTF">2019-04-05T16:20:00Z</dcterms:created>
  <dcterms:modified xsi:type="dcterms:W3CDTF">2019-04-05T16:20:00Z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19.93.939</vt:lpwstr>
  </property>
</Properties>
</file>