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572E" w:rsidTr="00345119">
        <w:tc>
          <w:tcPr>
            <w:tcW w:w="9576" w:type="dxa"/>
            <w:noWrap/>
          </w:tcPr>
          <w:p w:rsidR="008423E4" w:rsidRPr="0022177D" w:rsidRDefault="00814D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14D68" w:rsidP="008423E4">
      <w:pPr>
        <w:jc w:val="center"/>
      </w:pPr>
    </w:p>
    <w:p w:rsidR="008423E4" w:rsidRPr="00B31F0E" w:rsidRDefault="00814D68" w:rsidP="008423E4"/>
    <w:p w:rsidR="008423E4" w:rsidRPr="00742794" w:rsidRDefault="00814D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572E" w:rsidTr="00345119">
        <w:tc>
          <w:tcPr>
            <w:tcW w:w="9576" w:type="dxa"/>
          </w:tcPr>
          <w:p w:rsidR="008423E4" w:rsidRPr="00861995" w:rsidRDefault="00814D68" w:rsidP="00345119">
            <w:pPr>
              <w:jc w:val="right"/>
            </w:pPr>
            <w:r>
              <w:t>C.S.H.B. 1001</w:t>
            </w:r>
          </w:p>
        </w:tc>
      </w:tr>
      <w:tr w:rsidR="00AA572E" w:rsidTr="00345119">
        <w:tc>
          <w:tcPr>
            <w:tcW w:w="9576" w:type="dxa"/>
          </w:tcPr>
          <w:p w:rsidR="008423E4" w:rsidRPr="00861995" w:rsidRDefault="00814D68" w:rsidP="0060458B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AA572E" w:rsidTr="00345119">
        <w:tc>
          <w:tcPr>
            <w:tcW w:w="9576" w:type="dxa"/>
          </w:tcPr>
          <w:p w:rsidR="008423E4" w:rsidRPr="00861995" w:rsidRDefault="00814D68" w:rsidP="00345119">
            <w:pPr>
              <w:jc w:val="right"/>
            </w:pPr>
            <w:r>
              <w:t>State Affairs</w:t>
            </w:r>
          </w:p>
        </w:tc>
      </w:tr>
      <w:tr w:rsidR="00AA572E" w:rsidTr="00345119">
        <w:tc>
          <w:tcPr>
            <w:tcW w:w="9576" w:type="dxa"/>
          </w:tcPr>
          <w:p w:rsidR="008423E4" w:rsidRDefault="00814D6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14D68" w:rsidP="008423E4">
      <w:pPr>
        <w:tabs>
          <w:tab w:val="right" w:pos="9360"/>
        </w:tabs>
      </w:pPr>
    </w:p>
    <w:p w:rsidR="008423E4" w:rsidRDefault="00814D68" w:rsidP="008423E4"/>
    <w:p w:rsidR="008423E4" w:rsidRDefault="00814D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572E" w:rsidTr="00345119">
        <w:tc>
          <w:tcPr>
            <w:tcW w:w="9576" w:type="dxa"/>
          </w:tcPr>
          <w:p w:rsidR="008423E4" w:rsidRPr="00A8133F" w:rsidRDefault="00814D68" w:rsidP="00323A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14D68" w:rsidP="00323A18"/>
          <w:p w:rsidR="008423E4" w:rsidRDefault="00814D68" w:rsidP="00323A18">
            <w:pPr>
              <w:pStyle w:val="Header"/>
              <w:jc w:val="both"/>
            </w:pPr>
            <w:r>
              <w:t>There have been calls to expand certain whistleblower protections for employees of state and local government</w:t>
            </w:r>
            <w:r>
              <w:t>al</w:t>
            </w:r>
            <w:r>
              <w:t xml:space="preserve"> entities in Texas. </w:t>
            </w:r>
            <w:r>
              <w:t>C.S.</w:t>
            </w:r>
            <w:r>
              <w:t xml:space="preserve">H.B. 1001 seeks to provide those additional protections by </w:t>
            </w:r>
            <w:r>
              <w:t xml:space="preserve">adding </w:t>
            </w:r>
            <w:r>
              <w:t>persons</w:t>
            </w:r>
            <w:r>
              <w:t xml:space="preserve"> to whom employees of those entities may report certain violations of the law while still being protected from adverse personnel actions</w:t>
            </w:r>
            <w:r>
              <w:t xml:space="preserve"> and by </w:t>
            </w:r>
            <w:r>
              <w:t xml:space="preserve">requiring </w:t>
            </w:r>
            <w:r>
              <w:t>the adoption of anti</w:t>
            </w:r>
            <w:r>
              <w:noBreakHyphen/>
            </w:r>
            <w:r>
              <w:t>retaliat</w:t>
            </w:r>
            <w:r>
              <w:t>ion policies</w:t>
            </w:r>
            <w:r>
              <w:t xml:space="preserve"> by these entities</w:t>
            </w:r>
            <w:r>
              <w:t xml:space="preserve">. </w:t>
            </w:r>
          </w:p>
          <w:p w:rsidR="008423E4" w:rsidRPr="00E26B13" w:rsidRDefault="00814D68" w:rsidP="00323A18">
            <w:pPr>
              <w:rPr>
                <w:b/>
              </w:rPr>
            </w:pPr>
          </w:p>
        </w:tc>
      </w:tr>
      <w:tr w:rsidR="00AA572E" w:rsidTr="00345119">
        <w:tc>
          <w:tcPr>
            <w:tcW w:w="9576" w:type="dxa"/>
          </w:tcPr>
          <w:p w:rsidR="0017725B" w:rsidRDefault="00814D68" w:rsidP="00323A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14D68" w:rsidP="00323A18">
            <w:pPr>
              <w:rPr>
                <w:b/>
                <w:u w:val="single"/>
              </w:rPr>
            </w:pPr>
          </w:p>
          <w:p w:rsidR="00BE11D7" w:rsidRPr="00BE11D7" w:rsidRDefault="00814D68" w:rsidP="00323A1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:rsidR="0017725B" w:rsidRPr="0017725B" w:rsidRDefault="00814D68" w:rsidP="00323A18">
            <w:pPr>
              <w:rPr>
                <w:b/>
                <w:u w:val="single"/>
              </w:rPr>
            </w:pPr>
          </w:p>
        </w:tc>
      </w:tr>
      <w:tr w:rsidR="00AA572E" w:rsidTr="00345119">
        <w:tc>
          <w:tcPr>
            <w:tcW w:w="9576" w:type="dxa"/>
          </w:tcPr>
          <w:p w:rsidR="008423E4" w:rsidRPr="00A8133F" w:rsidRDefault="00814D68" w:rsidP="00323A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14D68" w:rsidP="00323A18"/>
          <w:p w:rsidR="00BE11D7" w:rsidRDefault="00814D68" w:rsidP="00323A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814D68" w:rsidP="00323A18">
            <w:pPr>
              <w:rPr>
                <w:b/>
              </w:rPr>
            </w:pPr>
          </w:p>
        </w:tc>
      </w:tr>
      <w:tr w:rsidR="00AA572E" w:rsidTr="00345119">
        <w:tc>
          <w:tcPr>
            <w:tcW w:w="9576" w:type="dxa"/>
          </w:tcPr>
          <w:p w:rsidR="008423E4" w:rsidRPr="00A8133F" w:rsidRDefault="00814D68" w:rsidP="00323A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14D68" w:rsidP="00323A18"/>
          <w:p w:rsidR="0006713B" w:rsidRDefault="00814D68" w:rsidP="00323A18">
            <w:pPr>
              <w:pStyle w:val="Header"/>
              <w:jc w:val="both"/>
            </w:pPr>
            <w:r>
              <w:t>C.S.</w:t>
            </w:r>
            <w:r>
              <w:t xml:space="preserve">H.B. 1001 amends the Government Code to </w:t>
            </w:r>
            <w:r>
              <w:t xml:space="preserve">expand the </w:t>
            </w:r>
            <w:r>
              <w:t xml:space="preserve">applicability of the </w:t>
            </w:r>
            <w:r>
              <w:t xml:space="preserve">prohibition against a </w:t>
            </w:r>
            <w:r w:rsidRPr="00971FAD">
              <w:t>state or local governmental entity suspend</w:t>
            </w:r>
            <w:r>
              <w:t>ing</w:t>
            </w:r>
            <w:r w:rsidRPr="00971FAD">
              <w:t xml:space="preserve"> or terminat</w:t>
            </w:r>
            <w:r>
              <w:t>ing</w:t>
            </w:r>
            <w:r w:rsidRPr="00971FAD">
              <w:t xml:space="preserve"> the employment of, or tak</w:t>
            </w:r>
            <w:r>
              <w:t>ing</w:t>
            </w:r>
            <w:r w:rsidRPr="00971FAD">
              <w:t xml:space="preserve"> other adverse personnel action against, a </w:t>
            </w:r>
            <w:r w:rsidRPr="00971FAD">
              <w:t xml:space="preserve">public employee who in good faith reports a violation of law by the employing governmental entity or </w:t>
            </w:r>
            <w:r>
              <w:t xml:space="preserve">by </w:t>
            </w:r>
            <w:r w:rsidRPr="00971FAD">
              <w:t>another public employee</w:t>
            </w:r>
            <w:r>
              <w:t xml:space="preserve"> to an appropriate law enforcement authority</w:t>
            </w:r>
            <w:r w:rsidRPr="00971FAD">
              <w:t xml:space="preserve"> </w:t>
            </w:r>
            <w:r>
              <w:t>to</w:t>
            </w:r>
            <w:r>
              <w:t xml:space="preserve"> </w:t>
            </w:r>
            <w:r>
              <w:t xml:space="preserve">include </w:t>
            </w:r>
            <w:r>
              <w:t>such a report made to</w:t>
            </w:r>
            <w:r>
              <w:t xml:space="preserve"> </w:t>
            </w:r>
            <w:r>
              <w:t xml:space="preserve">any of </w:t>
            </w:r>
            <w:r>
              <w:t>the</w:t>
            </w:r>
            <w:r>
              <w:t xml:space="preserve"> following </w:t>
            </w:r>
            <w:r>
              <w:t xml:space="preserve">persons or </w:t>
            </w:r>
            <w:r>
              <w:t>entities:</w:t>
            </w:r>
            <w:r>
              <w:t xml:space="preserve"> </w:t>
            </w:r>
          </w:p>
          <w:p w:rsidR="0006713B" w:rsidRDefault="00814D68" w:rsidP="00323A1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>repo</w:t>
            </w:r>
            <w:r>
              <w:t xml:space="preserve">rting employee's </w:t>
            </w:r>
            <w:r>
              <w:t xml:space="preserve">immediate </w:t>
            </w:r>
            <w:r>
              <w:t>supervisor</w:t>
            </w:r>
            <w:r>
              <w:t>,</w:t>
            </w:r>
            <w:r>
              <w:t xml:space="preserve"> </w:t>
            </w:r>
            <w:r w:rsidRPr="003120A6">
              <w:t>or an individual who holds a position above th</w:t>
            </w:r>
            <w:r>
              <w:t>at</w:t>
            </w:r>
            <w:r w:rsidRPr="003120A6">
              <w:t xml:space="preserve"> supervisor</w:t>
            </w:r>
            <w:r>
              <w:t>,</w:t>
            </w:r>
            <w:r>
              <w:t xml:space="preserve"> at the employing governmental entity</w:t>
            </w:r>
            <w:r>
              <w:t>;</w:t>
            </w:r>
            <w:r>
              <w:t xml:space="preserve"> </w:t>
            </w:r>
          </w:p>
          <w:p w:rsidR="0006713B" w:rsidRDefault="00814D68" w:rsidP="00323A1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individual or office designated by the employing governmental entity as the individual or office for reporting suc</w:t>
            </w:r>
            <w:r>
              <w:t>h grievances</w:t>
            </w:r>
            <w:r>
              <w:t>;</w:t>
            </w:r>
            <w:r>
              <w:t xml:space="preserve"> </w:t>
            </w:r>
            <w:r>
              <w:t xml:space="preserve">or </w:t>
            </w:r>
          </w:p>
          <w:p w:rsidR="008423E4" w:rsidRDefault="00814D68" w:rsidP="00323A1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member of the human resources staff of the employing governmental entity. </w:t>
            </w:r>
          </w:p>
          <w:p w:rsidR="006D71CC" w:rsidRDefault="00814D68" w:rsidP="00323A18">
            <w:pPr>
              <w:pStyle w:val="Header"/>
              <w:spacing w:before="120" w:after="120"/>
              <w:jc w:val="both"/>
            </w:pPr>
          </w:p>
          <w:p w:rsidR="003120A6" w:rsidRDefault="00814D68" w:rsidP="00323A18">
            <w:pPr>
              <w:pStyle w:val="Header"/>
              <w:spacing w:before="120" w:after="120"/>
              <w:jc w:val="both"/>
            </w:pPr>
            <w:r>
              <w:t xml:space="preserve">C.S.H.B. 1001 </w:t>
            </w:r>
            <w:r>
              <w:t xml:space="preserve">requires a </w:t>
            </w:r>
            <w:r w:rsidRPr="00731E2C">
              <w:t>state or local governmental entity</w:t>
            </w:r>
            <w:r>
              <w:t xml:space="preserve"> to </w:t>
            </w:r>
            <w:r w:rsidRPr="00731E2C">
              <w:t>develop and adopt</w:t>
            </w:r>
            <w:r>
              <w:t>, not later than December 1, 2019,</w:t>
            </w:r>
            <w:r w:rsidRPr="00731E2C">
              <w:t xml:space="preserve"> an anti-retaliation policy</w:t>
            </w:r>
            <w:r>
              <w:t xml:space="preserve"> </w:t>
            </w:r>
            <w:r w:rsidRPr="00731E2C">
              <w:t>consistent with</w:t>
            </w:r>
            <w:r>
              <w:t xml:space="preserve"> statutory provisions relating to protection for reporting violations of law that informs</w:t>
            </w:r>
            <w:r>
              <w:t xml:space="preserve"> its</w:t>
            </w:r>
            <w:r>
              <w:t xml:space="preserve"> </w:t>
            </w:r>
            <w:r w:rsidRPr="00731E2C">
              <w:t>employees of their rights</w:t>
            </w:r>
            <w:r>
              <w:t xml:space="preserve"> under those provisions</w:t>
            </w:r>
            <w:r>
              <w:t xml:space="preserve"> </w:t>
            </w:r>
            <w:r w:rsidRPr="00731E2C">
              <w:t>and the policy</w:t>
            </w:r>
            <w:r>
              <w:t xml:space="preserve"> and lists </w:t>
            </w:r>
            <w:r w:rsidRPr="00731E2C">
              <w:t>the individuals to whom its employees may report a violation of law</w:t>
            </w:r>
            <w:r>
              <w:t>. The bill requires s</w:t>
            </w:r>
            <w:r>
              <w:t>uch a governmental entity</w:t>
            </w:r>
            <w:r>
              <w:t xml:space="preserve"> </w:t>
            </w:r>
            <w:r>
              <w:t xml:space="preserve">to </w:t>
            </w:r>
            <w:r w:rsidRPr="00381BCE">
              <w:t>provide a copy of the policy</w:t>
            </w:r>
            <w:r>
              <w:t xml:space="preserve"> </w:t>
            </w:r>
            <w:r w:rsidRPr="00381BCE">
              <w:t>to each employee on the first day of employment with the entity</w:t>
            </w:r>
            <w:r>
              <w:t xml:space="preserve"> and to </w:t>
            </w:r>
            <w:r w:rsidRPr="00381BCE">
              <w:t>notify its employees of any change made to i</w:t>
            </w:r>
            <w:r>
              <w:t>ts policy by e</w:t>
            </w:r>
            <w:r>
              <w:t>-</w:t>
            </w:r>
            <w:r w:rsidRPr="00381BCE">
              <w:t xml:space="preserve">mail, memorandum, or in any other manner that ensures each employee </w:t>
            </w:r>
            <w:r w:rsidRPr="00381BCE">
              <w:t>will be informed of the change.</w:t>
            </w:r>
            <w:r>
              <w:t xml:space="preserve"> </w:t>
            </w:r>
            <w:r>
              <w:t xml:space="preserve">The bill requires </w:t>
            </w:r>
            <w:r>
              <w:t xml:space="preserve">an </w:t>
            </w:r>
            <w:r>
              <w:t xml:space="preserve">applicable state or local governmental entity supervisor, individual or office designated for reporting certain violations of law, or human resources staff member </w:t>
            </w:r>
            <w:r>
              <w:t xml:space="preserve">to provide </w:t>
            </w:r>
            <w:r w:rsidRPr="00F00AA3">
              <w:t>the entity's anti-retaliation</w:t>
            </w:r>
            <w:r w:rsidRPr="00F00AA3">
              <w:t xml:space="preserve"> policy</w:t>
            </w:r>
            <w:r>
              <w:t xml:space="preserve"> </w:t>
            </w:r>
            <w:r>
              <w:t>to an employee on the employee's request</w:t>
            </w:r>
            <w:r>
              <w:t xml:space="preserve">. </w:t>
            </w:r>
          </w:p>
          <w:p w:rsidR="00491FF0" w:rsidRDefault="00814D68" w:rsidP="00323A18">
            <w:pPr>
              <w:pStyle w:val="Header"/>
              <w:spacing w:before="120" w:after="120"/>
              <w:jc w:val="both"/>
            </w:pPr>
          </w:p>
          <w:p w:rsidR="008423E4" w:rsidRDefault="00814D68" w:rsidP="00323A18">
            <w:pPr>
              <w:pStyle w:val="Header"/>
              <w:spacing w:before="120" w:after="120"/>
              <w:jc w:val="both"/>
            </w:pPr>
            <w:r>
              <w:t xml:space="preserve">C.S.H.B. 1001 requires the attorney general to </w:t>
            </w:r>
            <w:r>
              <w:t xml:space="preserve">post </w:t>
            </w:r>
            <w:r w:rsidRPr="00606078">
              <w:t>in a prominent location on its website</w:t>
            </w:r>
            <w:r>
              <w:t xml:space="preserve"> </w:t>
            </w:r>
            <w:r w:rsidRPr="00606078">
              <w:t>a summary of the rights of public employees</w:t>
            </w:r>
            <w:r>
              <w:t xml:space="preserve"> under provisions</w:t>
            </w:r>
            <w:r w:rsidRPr="00606078">
              <w:t xml:space="preserve"> </w:t>
            </w:r>
            <w:r>
              <w:t xml:space="preserve">relating to </w:t>
            </w:r>
            <w:r>
              <w:t xml:space="preserve">protection for </w:t>
            </w:r>
            <w:r w:rsidRPr="00606078">
              <w:t>reporting violations of l</w:t>
            </w:r>
            <w:r w:rsidRPr="00606078">
              <w:t>aw</w:t>
            </w:r>
            <w:r>
              <w:t xml:space="preserve"> and </w:t>
            </w:r>
            <w:r w:rsidRPr="00606078">
              <w:t>a notice informing public employees of</w:t>
            </w:r>
            <w:r>
              <w:t xml:space="preserve"> </w:t>
            </w:r>
            <w:r w:rsidRPr="00606078">
              <w:t>the ability to obtain a copy of the anti-retaliation policy adopted by their employing governmental entity</w:t>
            </w:r>
            <w:r>
              <w:t xml:space="preserve"> from the applicable individuals and </w:t>
            </w:r>
            <w:r>
              <w:t xml:space="preserve">of </w:t>
            </w:r>
            <w:r w:rsidRPr="00606078">
              <w:t xml:space="preserve">the requirement </w:t>
            </w:r>
            <w:r>
              <w:t xml:space="preserve">for such </w:t>
            </w:r>
            <w:r w:rsidRPr="00606078">
              <w:t xml:space="preserve">an entity </w:t>
            </w:r>
            <w:r>
              <w:t xml:space="preserve">to </w:t>
            </w:r>
            <w:r w:rsidRPr="00606078">
              <w:t>provide to each public emp</w:t>
            </w:r>
            <w:r w:rsidRPr="00606078">
              <w:t xml:space="preserve">loyee </w:t>
            </w:r>
            <w:r>
              <w:t xml:space="preserve">such </w:t>
            </w:r>
            <w:r w:rsidRPr="00606078">
              <w:t xml:space="preserve">a copy </w:t>
            </w:r>
            <w:r>
              <w:t>on the first day of employment</w:t>
            </w:r>
            <w:r>
              <w:t xml:space="preserve">. </w:t>
            </w:r>
            <w:r>
              <w:t xml:space="preserve">The bill includes </w:t>
            </w:r>
            <w:r>
              <w:t>the provision of</w:t>
            </w:r>
            <w:r>
              <w:t xml:space="preserve"> a copy of the</w:t>
            </w:r>
            <w:r>
              <w:t xml:space="preserve"> adopted</w:t>
            </w:r>
            <w:r>
              <w:t xml:space="preserve"> anti-retaliation policy </w:t>
            </w:r>
            <w:r>
              <w:t xml:space="preserve">as a means by which </w:t>
            </w:r>
            <w:r>
              <w:t xml:space="preserve">a state or local governmental entity </w:t>
            </w:r>
            <w:r>
              <w:t>is required to</w:t>
            </w:r>
            <w:r>
              <w:t xml:space="preserve"> inform its </w:t>
            </w:r>
            <w:r>
              <w:t xml:space="preserve">employees of those rights. </w:t>
            </w:r>
          </w:p>
          <w:p w:rsidR="00E56399" w:rsidRPr="00835628" w:rsidRDefault="00814D68" w:rsidP="00323A18">
            <w:pPr>
              <w:pStyle w:val="Header"/>
              <w:spacing w:before="120" w:after="120"/>
              <w:jc w:val="both"/>
            </w:pPr>
          </w:p>
        </w:tc>
      </w:tr>
      <w:tr w:rsidR="00AA572E" w:rsidTr="00345119">
        <w:tc>
          <w:tcPr>
            <w:tcW w:w="9576" w:type="dxa"/>
          </w:tcPr>
          <w:p w:rsidR="008423E4" w:rsidRPr="00A8133F" w:rsidRDefault="00814D68" w:rsidP="00323A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814D68" w:rsidP="00323A18"/>
          <w:p w:rsidR="008423E4" w:rsidRDefault="00814D68" w:rsidP="00323A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C77B02" w:rsidRPr="00250ED4" w:rsidRDefault="00814D68" w:rsidP="00323A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A572E" w:rsidTr="00345119">
        <w:tc>
          <w:tcPr>
            <w:tcW w:w="9576" w:type="dxa"/>
          </w:tcPr>
          <w:p w:rsidR="0060458B" w:rsidRDefault="00814D68" w:rsidP="00323A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45D88" w:rsidRDefault="00814D68" w:rsidP="00323A18">
            <w:pPr>
              <w:jc w:val="both"/>
            </w:pPr>
          </w:p>
          <w:p w:rsidR="00F45D88" w:rsidRDefault="00814D68" w:rsidP="00323A18">
            <w:pPr>
              <w:jc w:val="both"/>
            </w:pPr>
            <w:r>
              <w:t>While C.S.H.B. 1001 may differ from the original in minor or nonsubstantive ways, the following summarizes the substantial differences between the introduced and committee substitute versi</w:t>
            </w:r>
            <w:r>
              <w:t>ons of the bill.</w:t>
            </w:r>
          </w:p>
          <w:p w:rsidR="00F45D88" w:rsidRDefault="00814D68" w:rsidP="00323A18">
            <w:pPr>
              <w:jc w:val="both"/>
            </w:pPr>
          </w:p>
          <w:p w:rsidR="00EB6AC7" w:rsidRDefault="00814D68" w:rsidP="00323A18">
            <w:pPr>
              <w:jc w:val="both"/>
            </w:pPr>
            <w:r>
              <w:t xml:space="preserve">The substitute </w:t>
            </w:r>
            <w:r>
              <w:t>specifies that the supervisor to whom</w:t>
            </w:r>
            <w:r>
              <w:t xml:space="preserve"> </w:t>
            </w:r>
            <w:r>
              <w:t xml:space="preserve">a public </w:t>
            </w:r>
            <w:r>
              <w:t xml:space="preserve">employee </w:t>
            </w:r>
            <w:r>
              <w:t>may</w:t>
            </w:r>
            <w:r>
              <w:t xml:space="preserve"> </w:t>
            </w:r>
            <w:r>
              <w:t>report a violation of law</w:t>
            </w:r>
            <w:r>
              <w:t xml:space="preserve"> </w:t>
            </w:r>
            <w:r>
              <w:t>is the</w:t>
            </w:r>
            <w:r>
              <w:t xml:space="preserve"> employee's </w:t>
            </w:r>
            <w:r w:rsidRPr="00081A9D">
              <w:t>immediate supervisor or an individual who holds a position above th</w:t>
            </w:r>
            <w:r>
              <w:t>at</w:t>
            </w:r>
            <w:r w:rsidRPr="00081A9D">
              <w:t xml:space="preserve"> supervisor</w:t>
            </w:r>
            <w:r>
              <w:t xml:space="preserve">. </w:t>
            </w:r>
          </w:p>
          <w:p w:rsidR="00EB6AC7" w:rsidRDefault="00814D68" w:rsidP="00323A18">
            <w:pPr>
              <w:jc w:val="both"/>
            </w:pPr>
          </w:p>
          <w:p w:rsidR="00F45D88" w:rsidRDefault="00814D68" w:rsidP="00323A18">
            <w:pPr>
              <w:jc w:val="both"/>
            </w:pPr>
            <w:r>
              <w:t xml:space="preserve">The substitute includes </w:t>
            </w:r>
            <w:r>
              <w:t xml:space="preserve">provisions </w:t>
            </w:r>
            <w:r>
              <w:t>relating to the development and adoption of an anti-retaliation policy by</w:t>
            </w:r>
            <w:r>
              <w:t xml:space="preserve"> a </w:t>
            </w:r>
            <w:r w:rsidRPr="00F45D88">
              <w:t>state or local governmental entity</w:t>
            </w:r>
            <w:r>
              <w:t xml:space="preserve">, </w:t>
            </w:r>
            <w:r>
              <w:t xml:space="preserve">the </w:t>
            </w:r>
            <w:r>
              <w:t xml:space="preserve">content of the </w:t>
            </w:r>
            <w:r>
              <w:t>policy</w:t>
            </w:r>
            <w:r>
              <w:t>,</w:t>
            </w:r>
            <w:r>
              <w:t xml:space="preserve"> and the provision of the policy to employees</w:t>
            </w:r>
            <w:r>
              <w:t>.</w:t>
            </w:r>
            <w:r>
              <w:t xml:space="preserve">  </w:t>
            </w:r>
          </w:p>
          <w:p w:rsidR="00EB6AC7" w:rsidRDefault="00814D68" w:rsidP="00323A18">
            <w:pPr>
              <w:jc w:val="both"/>
            </w:pPr>
          </w:p>
          <w:p w:rsidR="00EB6AC7" w:rsidRDefault="00814D68" w:rsidP="00323A18">
            <w:pPr>
              <w:jc w:val="both"/>
            </w:pPr>
            <w:r>
              <w:t xml:space="preserve">The substitute includes a requirement </w:t>
            </w:r>
            <w:r>
              <w:t xml:space="preserve">for </w:t>
            </w:r>
            <w:r>
              <w:t xml:space="preserve">the attorney general </w:t>
            </w:r>
            <w:r>
              <w:t xml:space="preserve">to </w:t>
            </w:r>
            <w:r>
              <w:t>po</w:t>
            </w:r>
            <w:r>
              <w:t xml:space="preserve">st </w:t>
            </w:r>
            <w:r w:rsidRPr="00081A9D">
              <w:t xml:space="preserve">on its website </w:t>
            </w:r>
            <w:r>
              <w:t xml:space="preserve">a </w:t>
            </w:r>
            <w:r w:rsidRPr="00081A9D">
              <w:t>summary of the rights of public employees</w:t>
            </w:r>
            <w:r>
              <w:t xml:space="preserve"> regarding protection for </w:t>
            </w:r>
            <w:r w:rsidRPr="00606078">
              <w:t>reporting violations of law</w:t>
            </w:r>
            <w:r>
              <w:t xml:space="preserve"> and certain </w:t>
            </w:r>
            <w:r>
              <w:t xml:space="preserve">information </w:t>
            </w:r>
            <w:r>
              <w:t xml:space="preserve">regarding access </w:t>
            </w:r>
            <w:r>
              <w:t>to the</w:t>
            </w:r>
            <w:r>
              <w:t>ir employer's</w:t>
            </w:r>
            <w:r>
              <w:t xml:space="preserve"> anti-retaliation policy. </w:t>
            </w:r>
          </w:p>
          <w:p w:rsidR="00F45D88" w:rsidRPr="00F45D88" w:rsidRDefault="00814D68" w:rsidP="00323A18">
            <w:pPr>
              <w:jc w:val="both"/>
            </w:pPr>
          </w:p>
        </w:tc>
      </w:tr>
      <w:tr w:rsidR="00AA572E" w:rsidTr="00345119">
        <w:tc>
          <w:tcPr>
            <w:tcW w:w="9576" w:type="dxa"/>
          </w:tcPr>
          <w:p w:rsidR="0060458B" w:rsidRPr="009C1E9A" w:rsidRDefault="00814D68" w:rsidP="00323A18">
            <w:pPr>
              <w:rPr>
                <w:b/>
                <w:u w:val="single"/>
              </w:rPr>
            </w:pPr>
          </w:p>
        </w:tc>
      </w:tr>
      <w:tr w:rsidR="00AA572E" w:rsidTr="00345119">
        <w:tc>
          <w:tcPr>
            <w:tcW w:w="9576" w:type="dxa"/>
          </w:tcPr>
          <w:p w:rsidR="0060458B" w:rsidRPr="0060458B" w:rsidRDefault="00814D68" w:rsidP="00323A18">
            <w:pPr>
              <w:jc w:val="both"/>
            </w:pPr>
          </w:p>
        </w:tc>
      </w:tr>
    </w:tbl>
    <w:p w:rsidR="004108C3" w:rsidRPr="008423E4" w:rsidRDefault="00814D6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4D68">
      <w:r>
        <w:separator/>
      </w:r>
    </w:p>
  </w:endnote>
  <w:endnote w:type="continuationSeparator" w:id="0">
    <w:p w:rsidR="00000000" w:rsidRDefault="0081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4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572E" w:rsidTr="009C1E9A">
      <w:trPr>
        <w:cantSplit/>
      </w:trPr>
      <w:tc>
        <w:tcPr>
          <w:tcW w:w="0" w:type="pct"/>
        </w:tcPr>
        <w:p w:rsidR="00137D90" w:rsidRDefault="00814D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14D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14D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14D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14D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572E" w:rsidTr="009C1E9A">
      <w:trPr>
        <w:cantSplit/>
      </w:trPr>
      <w:tc>
        <w:tcPr>
          <w:tcW w:w="0" w:type="pct"/>
        </w:tcPr>
        <w:p w:rsidR="00EC379B" w:rsidRDefault="00814D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14D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26613</w:t>
          </w:r>
        </w:p>
      </w:tc>
      <w:tc>
        <w:tcPr>
          <w:tcW w:w="2453" w:type="pct"/>
        </w:tcPr>
        <w:p w:rsidR="00EC379B" w:rsidRDefault="00814D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19.101.1171</w:t>
          </w:r>
          <w:r>
            <w:fldChar w:fldCharType="end"/>
          </w:r>
        </w:p>
      </w:tc>
    </w:tr>
    <w:tr w:rsidR="00AA572E" w:rsidTr="009C1E9A">
      <w:trPr>
        <w:cantSplit/>
      </w:trPr>
      <w:tc>
        <w:tcPr>
          <w:tcW w:w="0" w:type="pct"/>
        </w:tcPr>
        <w:p w:rsidR="00EC379B" w:rsidRDefault="00814D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14D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21340</w:t>
          </w:r>
        </w:p>
      </w:tc>
      <w:tc>
        <w:tcPr>
          <w:tcW w:w="2453" w:type="pct"/>
        </w:tcPr>
        <w:p w:rsidR="00EC379B" w:rsidRDefault="00814D68" w:rsidP="006D504F">
          <w:pPr>
            <w:pStyle w:val="Footer"/>
            <w:rPr>
              <w:rStyle w:val="PageNumber"/>
            </w:rPr>
          </w:pPr>
        </w:p>
        <w:p w:rsidR="00EC379B" w:rsidRDefault="00814D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57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14D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14D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14D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4D68">
      <w:r>
        <w:separator/>
      </w:r>
    </w:p>
  </w:footnote>
  <w:footnote w:type="continuationSeparator" w:id="0">
    <w:p w:rsidR="00000000" w:rsidRDefault="0081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4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4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284"/>
    <w:multiLevelType w:val="hybridMultilevel"/>
    <w:tmpl w:val="DA023B66"/>
    <w:lvl w:ilvl="0" w:tplc="3934F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2B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43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6E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4E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E0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09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2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46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E"/>
    <w:rsid w:val="00814D68"/>
    <w:rsid w:val="00A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84F9FF-A6A3-4F6A-9B4C-75D5775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11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1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3807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HB01001 (Committee Report (Substituted))</vt:lpstr>
    </vt:vector>
  </TitlesOfParts>
  <Company>State of Texas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26613</dc:subject>
  <dc:creator>State of Texas</dc:creator>
  <dc:description>HB 1001 by Israel-(H)State Affairs (Substitute Document Number: 86R 21340)</dc:description>
  <cp:lastModifiedBy>Laura Ramsay</cp:lastModifiedBy>
  <cp:revision>2</cp:revision>
  <cp:lastPrinted>2003-11-26T17:21:00Z</cp:lastPrinted>
  <dcterms:created xsi:type="dcterms:W3CDTF">2019-04-16T22:05:00Z</dcterms:created>
  <dcterms:modified xsi:type="dcterms:W3CDTF">2019-04-16T22:05:00Z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19.101.1171</vt:lpwstr>
  </property>
</Properties>
</file>