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2369" w:rsidTr="00345119">
        <w:tc>
          <w:tcPr>
            <w:tcW w:w="9576" w:type="dxa"/>
            <w:noWrap/>
          </w:tcPr>
          <w:p w:rsidR="008423E4" w:rsidRPr="0022177D" w:rsidRDefault="007F6A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6AB8" w:rsidP="008423E4">
      <w:pPr>
        <w:jc w:val="center"/>
      </w:pPr>
    </w:p>
    <w:p w:rsidR="008423E4" w:rsidRPr="00B31F0E" w:rsidRDefault="007F6AB8" w:rsidP="008423E4"/>
    <w:p w:rsidR="008423E4" w:rsidRPr="00742794" w:rsidRDefault="007F6A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2369" w:rsidTr="00345119">
        <w:tc>
          <w:tcPr>
            <w:tcW w:w="9576" w:type="dxa"/>
          </w:tcPr>
          <w:p w:rsidR="008423E4" w:rsidRPr="00861995" w:rsidRDefault="007F6AB8" w:rsidP="0043740D">
            <w:pPr>
              <w:jc w:val="right"/>
            </w:pPr>
            <w:r>
              <w:t>H.B. 1030</w:t>
            </w:r>
          </w:p>
        </w:tc>
      </w:tr>
      <w:tr w:rsidR="00B02369" w:rsidTr="00345119">
        <w:tc>
          <w:tcPr>
            <w:tcW w:w="9576" w:type="dxa"/>
          </w:tcPr>
          <w:p w:rsidR="008423E4" w:rsidRPr="00861995" w:rsidRDefault="007F6AB8" w:rsidP="0043740D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B02369" w:rsidTr="00345119">
        <w:tc>
          <w:tcPr>
            <w:tcW w:w="9576" w:type="dxa"/>
          </w:tcPr>
          <w:p w:rsidR="008423E4" w:rsidRPr="00861995" w:rsidRDefault="007F6AB8" w:rsidP="00345119">
            <w:pPr>
              <w:jc w:val="right"/>
            </w:pPr>
            <w:r>
              <w:t>Criminal Jurisprudence</w:t>
            </w:r>
          </w:p>
        </w:tc>
      </w:tr>
      <w:tr w:rsidR="00B02369" w:rsidTr="00345119">
        <w:tc>
          <w:tcPr>
            <w:tcW w:w="9576" w:type="dxa"/>
          </w:tcPr>
          <w:p w:rsidR="008423E4" w:rsidRDefault="007F6A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F6AB8" w:rsidP="008423E4">
      <w:pPr>
        <w:tabs>
          <w:tab w:val="right" w:pos="9360"/>
        </w:tabs>
      </w:pPr>
    </w:p>
    <w:p w:rsidR="008423E4" w:rsidRDefault="007F6AB8" w:rsidP="008423E4"/>
    <w:p w:rsidR="008423E4" w:rsidRDefault="007F6A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2369" w:rsidTr="00345119">
        <w:tc>
          <w:tcPr>
            <w:tcW w:w="9576" w:type="dxa"/>
          </w:tcPr>
          <w:p w:rsidR="008423E4" w:rsidRPr="00A8133F" w:rsidRDefault="007F6AB8" w:rsidP="00534C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6AB8" w:rsidP="00534C86"/>
          <w:p w:rsidR="008423E4" w:rsidRDefault="007F6AB8" w:rsidP="00534C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 w:rsidRPr="005C6D26">
              <w:t xml:space="preserve">that jurors in a capital case are not adequately informed about the effect of their sentencing decisions that ultimately may end a person's life. H.B. 1030 seeks to address </w:t>
            </w:r>
            <w:r w:rsidRPr="005C6D26">
              <w:t>th</w:t>
            </w:r>
            <w:r>
              <w:t>ese</w:t>
            </w:r>
            <w:r w:rsidRPr="005C6D26">
              <w:t xml:space="preserve"> </w:t>
            </w:r>
            <w:r>
              <w:t>concerns</w:t>
            </w:r>
            <w:r w:rsidRPr="005C6D26">
              <w:t xml:space="preserve"> by revising</w:t>
            </w:r>
            <w:r>
              <w:t xml:space="preserve"> the</w:t>
            </w:r>
            <w:r w:rsidRPr="005C6D26">
              <w:t xml:space="preserve"> </w:t>
            </w:r>
            <w:r>
              <w:t xml:space="preserve">language contained </w:t>
            </w:r>
            <w:r>
              <w:t xml:space="preserve">in jury </w:t>
            </w:r>
            <w:r>
              <w:t xml:space="preserve">instructions </w:t>
            </w:r>
            <w:r>
              <w:t>provided in</w:t>
            </w:r>
            <w:r>
              <w:t xml:space="preserve"> </w:t>
            </w:r>
            <w:r>
              <w:t>a</w:t>
            </w:r>
            <w:r w:rsidRPr="005C6D26">
              <w:t xml:space="preserve"> sentencing proceeding</w:t>
            </w:r>
            <w:r>
              <w:t xml:space="preserve"> </w:t>
            </w:r>
            <w:r>
              <w:t xml:space="preserve">in </w:t>
            </w:r>
            <w:r>
              <w:t>certain</w:t>
            </w:r>
            <w:r>
              <w:t xml:space="preserve"> capital case</w:t>
            </w:r>
            <w:r>
              <w:t>s</w:t>
            </w:r>
            <w:r>
              <w:t>.</w:t>
            </w:r>
          </w:p>
          <w:p w:rsidR="008423E4" w:rsidRPr="00E26B13" w:rsidRDefault="007F6AB8" w:rsidP="00534C86">
            <w:pPr>
              <w:rPr>
                <w:b/>
              </w:rPr>
            </w:pPr>
          </w:p>
        </w:tc>
      </w:tr>
      <w:tr w:rsidR="00B02369" w:rsidTr="00345119">
        <w:tc>
          <w:tcPr>
            <w:tcW w:w="9576" w:type="dxa"/>
          </w:tcPr>
          <w:p w:rsidR="0017725B" w:rsidRDefault="007F6AB8" w:rsidP="00534C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6AB8" w:rsidP="00534C86">
            <w:pPr>
              <w:rPr>
                <w:b/>
                <w:u w:val="single"/>
              </w:rPr>
            </w:pPr>
          </w:p>
          <w:p w:rsidR="00321D7E" w:rsidRPr="00321D7E" w:rsidRDefault="007F6AB8" w:rsidP="00534C8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7F6AB8" w:rsidP="00534C86">
            <w:pPr>
              <w:rPr>
                <w:b/>
                <w:u w:val="single"/>
              </w:rPr>
            </w:pPr>
          </w:p>
        </w:tc>
      </w:tr>
      <w:tr w:rsidR="00B02369" w:rsidTr="00345119">
        <w:tc>
          <w:tcPr>
            <w:tcW w:w="9576" w:type="dxa"/>
          </w:tcPr>
          <w:p w:rsidR="008423E4" w:rsidRPr="00A8133F" w:rsidRDefault="007F6AB8" w:rsidP="00534C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6AB8" w:rsidP="00534C86"/>
          <w:p w:rsidR="00321D7E" w:rsidRDefault="007F6AB8" w:rsidP="00534C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7F6AB8" w:rsidP="00534C86">
            <w:pPr>
              <w:rPr>
                <w:b/>
              </w:rPr>
            </w:pPr>
          </w:p>
        </w:tc>
      </w:tr>
      <w:tr w:rsidR="00B02369" w:rsidTr="00345119">
        <w:tc>
          <w:tcPr>
            <w:tcW w:w="9576" w:type="dxa"/>
          </w:tcPr>
          <w:p w:rsidR="008423E4" w:rsidRPr="00A8133F" w:rsidRDefault="007F6AB8" w:rsidP="00534C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6AB8" w:rsidP="00534C86"/>
          <w:p w:rsidR="00A861C3" w:rsidRDefault="007F6AB8" w:rsidP="00534C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1030 amends the Code of </w:t>
            </w:r>
            <w:r w:rsidRPr="00053074">
              <w:t>Criminal Procedure</w:t>
            </w:r>
            <w:r>
              <w:t xml:space="preserve"> to remove</w:t>
            </w:r>
            <w:r>
              <w:t xml:space="preserve"> from the jury instructions </w:t>
            </w:r>
            <w:r>
              <w:t>provided in a</w:t>
            </w:r>
            <w:r>
              <w:t xml:space="preserve"> sentencing proceeding in</w:t>
            </w:r>
            <w:r>
              <w:t xml:space="preserve"> </w:t>
            </w:r>
            <w:r>
              <w:t xml:space="preserve">a </w:t>
            </w:r>
            <w:r>
              <w:t>capital felony case</w:t>
            </w:r>
            <w:r>
              <w:t xml:space="preserve"> in which the state seeks the death </w:t>
            </w:r>
            <w:r>
              <w:t>penalty</w:t>
            </w:r>
            <w:r>
              <w:t xml:space="preserve"> </w:t>
            </w:r>
            <w:r>
              <w:t xml:space="preserve">the </w:t>
            </w:r>
            <w:r>
              <w:t>condition</w:t>
            </w:r>
            <w:r>
              <w:t xml:space="preserve"> that 10 or more jurors agree for </w:t>
            </w:r>
            <w:r>
              <w:t xml:space="preserve">the </w:t>
            </w:r>
            <w:r>
              <w:t>jury</w:t>
            </w:r>
            <w:r>
              <w:t xml:space="preserve"> </w:t>
            </w:r>
            <w:r>
              <w:t xml:space="preserve">to answer "no" to either of the following issues: </w:t>
            </w:r>
          </w:p>
          <w:p w:rsidR="00A861C3" w:rsidRDefault="007F6AB8" w:rsidP="00534C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053074">
              <w:t>whether there is a probability that the defendant would commit criminal acts of violence that would constitute a continuing threat to society</w:t>
            </w:r>
            <w:r>
              <w:t>;</w:t>
            </w:r>
            <w:r>
              <w:t xml:space="preserve"> or </w:t>
            </w:r>
          </w:p>
          <w:p w:rsidR="00A861C3" w:rsidRDefault="007F6AB8" w:rsidP="00534C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 cases in whi</w:t>
            </w:r>
            <w:r>
              <w:t>ch the jury charge at the guilt or innocence stage permitted the jury to find the defendant guilty</w:t>
            </w:r>
            <w:r>
              <w:t xml:space="preserve"> as a party under </w:t>
            </w:r>
            <w:r>
              <w:t>the law of parties</w:t>
            </w:r>
            <w:r>
              <w:t xml:space="preserve">, whether </w:t>
            </w:r>
            <w:r w:rsidRPr="00053074">
              <w:t xml:space="preserve">the defendant actually caused the </w:t>
            </w:r>
            <w:r>
              <w:t xml:space="preserve">deceased's </w:t>
            </w:r>
            <w:r w:rsidRPr="00053074">
              <w:t>death or did not but intended to kill the deceased or another or an</w:t>
            </w:r>
            <w:r w:rsidRPr="00053074">
              <w:t>ticipated that a human life would be taken.</w:t>
            </w:r>
            <w:r>
              <w:t xml:space="preserve"> </w:t>
            </w:r>
          </w:p>
          <w:p w:rsidR="00A861C3" w:rsidRDefault="007F6AB8" w:rsidP="00534C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F6AB8" w:rsidP="00534C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1030 </w:t>
            </w:r>
            <w:r>
              <w:t>removes</w:t>
            </w:r>
            <w:r>
              <w:t xml:space="preserve"> from </w:t>
            </w:r>
            <w:r>
              <w:t>th</w:t>
            </w:r>
            <w:r>
              <w:t>ose</w:t>
            </w:r>
            <w:r>
              <w:t xml:space="preserve"> </w:t>
            </w:r>
            <w:r>
              <w:t xml:space="preserve">jury instructions </w:t>
            </w:r>
            <w:r>
              <w:t>the condition</w:t>
            </w:r>
            <w:r>
              <w:t xml:space="preserve"> that </w:t>
            </w:r>
            <w:r w:rsidRPr="00053074">
              <w:t>10 or more jurors agree for the jury</w:t>
            </w:r>
            <w:r>
              <w:t xml:space="preserve"> </w:t>
            </w:r>
            <w:r w:rsidRPr="00053074">
              <w:t>to answer</w:t>
            </w:r>
            <w:r>
              <w:t xml:space="preserve"> "yes" to </w:t>
            </w:r>
            <w:r>
              <w:t xml:space="preserve">the </w:t>
            </w:r>
            <w:r>
              <w:t xml:space="preserve">issue </w:t>
            </w:r>
            <w:r>
              <w:t xml:space="preserve">of whether, </w:t>
            </w:r>
            <w:r w:rsidRPr="00DE1B4E">
              <w:t xml:space="preserve">taking into consideration all of the evidence, including the </w:t>
            </w:r>
            <w:r w:rsidRPr="00DE1B4E">
              <w:t>circumstances of the offense</w:t>
            </w:r>
            <w:r>
              <w:t xml:space="preserve"> and</w:t>
            </w:r>
            <w:r w:rsidRPr="00DE1B4E">
              <w:t xml:space="preserve"> </w:t>
            </w:r>
            <w:r w:rsidRPr="00DE1B4E">
              <w:t>the defendant's character</w:t>
            </w:r>
            <w:r>
              <w:t xml:space="preserve">, </w:t>
            </w:r>
            <w:r w:rsidRPr="00DE1B4E">
              <w:t>background, and personal moral culpability, there is a sufficient mitigating circumstance or circumstances to warrant that a sentence of life imprisonment without parole rather than a death senten</w:t>
            </w:r>
            <w:r w:rsidRPr="00DE1B4E">
              <w:t>ce be imposed.</w:t>
            </w:r>
            <w:r>
              <w:t xml:space="preserve">  </w:t>
            </w:r>
          </w:p>
          <w:p w:rsidR="008423E4" w:rsidRPr="00835628" w:rsidRDefault="007F6AB8" w:rsidP="00534C86">
            <w:pPr>
              <w:rPr>
                <w:b/>
              </w:rPr>
            </w:pPr>
          </w:p>
        </w:tc>
      </w:tr>
      <w:tr w:rsidR="00B02369" w:rsidTr="00345119">
        <w:tc>
          <w:tcPr>
            <w:tcW w:w="9576" w:type="dxa"/>
          </w:tcPr>
          <w:p w:rsidR="008423E4" w:rsidRPr="00A8133F" w:rsidRDefault="007F6AB8" w:rsidP="00534C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6AB8" w:rsidP="00534C86"/>
          <w:p w:rsidR="008423E4" w:rsidRPr="003624F2" w:rsidRDefault="007F6AB8" w:rsidP="00534C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21D7E">
              <w:t>September 1, 2019.</w:t>
            </w:r>
          </w:p>
          <w:p w:rsidR="008423E4" w:rsidRPr="00233FDB" w:rsidRDefault="007F6AB8" w:rsidP="00534C86">
            <w:pPr>
              <w:rPr>
                <w:b/>
              </w:rPr>
            </w:pPr>
          </w:p>
        </w:tc>
      </w:tr>
    </w:tbl>
    <w:p w:rsidR="008423E4" w:rsidRPr="00BE0E75" w:rsidRDefault="007F6A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6AB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6AB8">
      <w:r>
        <w:separator/>
      </w:r>
    </w:p>
  </w:endnote>
  <w:endnote w:type="continuationSeparator" w:id="0">
    <w:p w:rsidR="00000000" w:rsidRDefault="007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2369" w:rsidTr="009C1E9A">
      <w:trPr>
        <w:cantSplit/>
      </w:trPr>
      <w:tc>
        <w:tcPr>
          <w:tcW w:w="0" w:type="pct"/>
        </w:tcPr>
        <w:p w:rsidR="00137D90" w:rsidRDefault="007F6A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6A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6A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6A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6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369" w:rsidTr="009C1E9A">
      <w:trPr>
        <w:cantSplit/>
      </w:trPr>
      <w:tc>
        <w:tcPr>
          <w:tcW w:w="0" w:type="pct"/>
        </w:tcPr>
        <w:p w:rsidR="00EC379B" w:rsidRDefault="007F6A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6A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19818</w:t>
          </w:r>
        </w:p>
      </w:tc>
      <w:tc>
        <w:tcPr>
          <w:tcW w:w="2453" w:type="pct"/>
        </w:tcPr>
        <w:p w:rsidR="00EC379B" w:rsidRDefault="007F6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19.74.12</w:t>
          </w:r>
          <w:r>
            <w:fldChar w:fldCharType="end"/>
          </w:r>
        </w:p>
      </w:tc>
    </w:tr>
    <w:tr w:rsidR="00B02369" w:rsidTr="009C1E9A">
      <w:trPr>
        <w:cantSplit/>
      </w:trPr>
      <w:tc>
        <w:tcPr>
          <w:tcW w:w="0" w:type="pct"/>
        </w:tcPr>
        <w:p w:rsidR="00EC379B" w:rsidRDefault="007F6A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6A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F6AB8" w:rsidP="006D504F">
          <w:pPr>
            <w:pStyle w:val="Footer"/>
            <w:rPr>
              <w:rStyle w:val="PageNumber"/>
            </w:rPr>
          </w:pPr>
        </w:p>
        <w:p w:rsidR="00EC379B" w:rsidRDefault="007F6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3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6A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6A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6A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6AB8">
      <w:r>
        <w:separator/>
      </w:r>
    </w:p>
  </w:footnote>
  <w:footnote w:type="continuationSeparator" w:id="0">
    <w:p w:rsidR="00000000" w:rsidRDefault="007F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1D66"/>
    <w:multiLevelType w:val="hybridMultilevel"/>
    <w:tmpl w:val="FEF235F4"/>
    <w:lvl w:ilvl="0" w:tplc="CDFCE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81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83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C4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29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21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63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48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42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99D"/>
    <w:multiLevelType w:val="hybridMultilevel"/>
    <w:tmpl w:val="E3107078"/>
    <w:lvl w:ilvl="0" w:tplc="E53E0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67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0C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4E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81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C7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8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AC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CB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9"/>
    <w:rsid w:val="007F6AB8"/>
    <w:rsid w:val="00B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8A2C63-739F-4146-8066-D3C157B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1B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1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1B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1B4E"/>
    <w:rPr>
      <w:b/>
      <w:bCs/>
    </w:rPr>
  </w:style>
  <w:style w:type="character" w:styleId="Hyperlink">
    <w:name w:val="Hyperlink"/>
    <w:basedOn w:val="DefaultParagraphFont"/>
    <w:unhideWhenUsed/>
    <w:rsid w:val="00D53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E5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1844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HB01030 (Committee Report (Unamended))</vt:lpstr>
    </vt:vector>
  </TitlesOfParts>
  <Company>State of Texas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19818</dc:subject>
  <dc:creator>State of Texas</dc:creator>
  <dc:description>HB 1030 by Moody-(H)Criminal Jurisprudence</dc:description>
  <cp:lastModifiedBy>Laura Ramsay</cp:lastModifiedBy>
  <cp:revision>2</cp:revision>
  <cp:lastPrinted>2003-11-26T17:21:00Z</cp:lastPrinted>
  <dcterms:created xsi:type="dcterms:W3CDTF">2019-03-29T19:10:00Z</dcterms:created>
  <dcterms:modified xsi:type="dcterms:W3CDTF">2019-03-29T19:10:00Z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19.74.12</vt:lpwstr>
  </property>
</Properties>
</file>