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50DDE" w:rsidTr="00345119">
        <w:tc>
          <w:tcPr>
            <w:tcW w:w="9576" w:type="dxa"/>
            <w:noWrap/>
          </w:tcPr>
          <w:p w:rsidR="008423E4" w:rsidRPr="0022177D" w:rsidRDefault="008A49C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A49C2" w:rsidP="008423E4">
      <w:pPr>
        <w:jc w:val="center"/>
      </w:pPr>
    </w:p>
    <w:p w:rsidR="008423E4" w:rsidRPr="00B31F0E" w:rsidRDefault="008A49C2" w:rsidP="008423E4"/>
    <w:p w:rsidR="008423E4" w:rsidRPr="00742794" w:rsidRDefault="008A49C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50DDE" w:rsidTr="00345119">
        <w:tc>
          <w:tcPr>
            <w:tcW w:w="9576" w:type="dxa"/>
          </w:tcPr>
          <w:p w:rsidR="008423E4" w:rsidRPr="00861995" w:rsidRDefault="008A49C2" w:rsidP="00D903FF">
            <w:pPr>
              <w:jc w:val="right"/>
            </w:pPr>
            <w:r>
              <w:t>C.S.H.B. 1044</w:t>
            </w:r>
          </w:p>
        </w:tc>
      </w:tr>
      <w:tr w:rsidR="00250DDE" w:rsidTr="00345119">
        <w:tc>
          <w:tcPr>
            <w:tcW w:w="9576" w:type="dxa"/>
          </w:tcPr>
          <w:p w:rsidR="008423E4" w:rsidRPr="00861995" w:rsidRDefault="008A49C2" w:rsidP="0078239D">
            <w:pPr>
              <w:jc w:val="right"/>
            </w:pPr>
            <w:r>
              <w:t xml:space="preserve">By: </w:t>
            </w:r>
            <w:r>
              <w:t>Zwiener</w:t>
            </w:r>
          </w:p>
        </w:tc>
      </w:tr>
      <w:tr w:rsidR="00250DDE" w:rsidTr="00345119">
        <w:tc>
          <w:tcPr>
            <w:tcW w:w="9576" w:type="dxa"/>
          </w:tcPr>
          <w:p w:rsidR="008423E4" w:rsidRPr="00861995" w:rsidRDefault="008A49C2" w:rsidP="00D903FF">
            <w:pPr>
              <w:jc w:val="right"/>
            </w:pPr>
            <w:r>
              <w:t>Natural Resources</w:t>
            </w:r>
          </w:p>
        </w:tc>
      </w:tr>
      <w:tr w:rsidR="00250DDE" w:rsidTr="00345119">
        <w:tc>
          <w:tcPr>
            <w:tcW w:w="9576" w:type="dxa"/>
          </w:tcPr>
          <w:p w:rsidR="008423E4" w:rsidRDefault="008A49C2" w:rsidP="00D903FF">
            <w:pPr>
              <w:jc w:val="right"/>
            </w:pPr>
            <w:r>
              <w:t>Committee Report (Substituted)</w:t>
            </w:r>
          </w:p>
        </w:tc>
      </w:tr>
    </w:tbl>
    <w:p w:rsidR="008423E4" w:rsidRDefault="008A49C2" w:rsidP="008423E4">
      <w:pPr>
        <w:tabs>
          <w:tab w:val="right" w:pos="9360"/>
        </w:tabs>
      </w:pPr>
    </w:p>
    <w:p w:rsidR="008423E4" w:rsidRDefault="008A49C2" w:rsidP="008423E4"/>
    <w:p w:rsidR="008423E4" w:rsidRDefault="008A49C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250DDE" w:rsidTr="00345119">
        <w:tc>
          <w:tcPr>
            <w:tcW w:w="9576" w:type="dxa"/>
          </w:tcPr>
          <w:p w:rsidR="008423E4" w:rsidRPr="00A8133F" w:rsidRDefault="008A49C2" w:rsidP="00E762A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A49C2" w:rsidP="00E762AB"/>
          <w:p w:rsidR="008423E4" w:rsidRDefault="008A49C2" w:rsidP="00E762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have been calls for</w:t>
            </w:r>
            <w:r w:rsidRPr="00777777">
              <w:t xml:space="preserve"> certain entities </w:t>
            </w:r>
            <w:r>
              <w:t>to</w:t>
            </w:r>
            <w:r w:rsidRPr="00777777">
              <w:t xml:space="preserve"> be allowed to pursue aquifer storage and recovery projects to ensure a reliable water supply. </w:t>
            </w:r>
            <w:r>
              <w:t>C.S.</w:t>
            </w:r>
            <w:r w:rsidRPr="00777777">
              <w:t>H.B. 1044 seeks to address this issue by providing for permits for certain injection wells that are part of an aquifer storage and recovery project that tran</w:t>
            </w:r>
            <w:r w:rsidRPr="00777777">
              <w:t>sect</w:t>
            </w:r>
            <w:r>
              <w:t>s</w:t>
            </w:r>
            <w:r w:rsidRPr="00777777">
              <w:t xml:space="preserve"> a portion of the Edwards Aquifer.</w:t>
            </w:r>
          </w:p>
          <w:p w:rsidR="008423E4" w:rsidRPr="00E26B13" w:rsidRDefault="008A49C2" w:rsidP="00E762AB">
            <w:pPr>
              <w:rPr>
                <w:b/>
              </w:rPr>
            </w:pPr>
          </w:p>
        </w:tc>
      </w:tr>
      <w:tr w:rsidR="00250DDE" w:rsidTr="00345119">
        <w:tc>
          <w:tcPr>
            <w:tcW w:w="9576" w:type="dxa"/>
          </w:tcPr>
          <w:p w:rsidR="0017725B" w:rsidRDefault="008A49C2" w:rsidP="00E762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A49C2" w:rsidP="00E762AB">
            <w:pPr>
              <w:rPr>
                <w:b/>
                <w:u w:val="single"/>
              </w:rPr>
            </w:pPr>
          </w:p>
          <w:p w:rsidR="004E3509" w:rsidRPr="004E3509" w:rsidRDefault="008A49C2" w:rsidP="00E762A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</w:t>
            </w:r>
            <w:r>
              <w:t>igibility of a person for community supervision, parole, or mandatory supervision.</w:t>
            </w:r>
          </w:p>
          <w:p w:rsidR="0017725B" w:rsidRPr="0017725B" w:rsidRDefault="008A49C2" w:rsidP="00E762AB">
            <w:pPr>
              <w:rPr>
                <w:b/>
                <w:u w:val="single"/>
              </w:rPr>
            </w:pPr>
          </w:p>
        </w:tc>
      </w:tr>
      <w:tr w:rsidR="00250DDE" w:rsidTr="00345119">
        <w:tc>
          <w:tcPr>
            <w:tcW w:w="9576" w:type="dxa"/>
          </w:tcPr>
          <w:p w:rsidR="008423E4" w:rsidRPr="00A8133F" w:rsidRDefault="008A49C2" w:rsidP="00E762A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A49C2" w:rsidP="00E762AB"/>
          <w:p w:rsidR="004E3509" w:rsidRDefault="008A49C2" w:rsidP="00E762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742E0A">
              <w:t>Texas Commission</w:t>
            </w:r>
            <w:r>
              <w:t xml:space="preserve"> on Environmental Quality in </w:t>
            </w:r>
            <w:r w:rsidRPr="00742E0A">
              <w:t>SECTION 2</w:t>
            </w:r>
            <w:r>
              <w:t xml:space="preserve"> of this b</w:t>
            </w:r>
            <w:r>
              <w:t>ill.</w:t>
            </w:r>
          </w:p>
          <w:p w:rsidR="008423E4" w:rsidRPr="00E21FDC" w:rsidRDefault="008A49C2" w:rsidP="00E762AB">
            <w:pPr>
              <w:rPr>
                <w:b/>
              </w:rPr>
            </w:pPr>
          </w:p>
        </w:tc>
      </w:tr>
      <w:tr w:rsidR="00250DDE" w:rsidTr="00345119">
        <w:tc>
          <w:tcPr>
            <w:tcW w:w="9576" w:type="dxa"/>
          </w:tcPr>
          <w:p w:rsidR="008423E4" w:rsidRPr="00A8133F" w:rsidRDefault="008A49C2" w:rsidP="00E762A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A49C2" w:rsidP="00E762AB"/>
          <w:p w:rsidR="004E3509" w:rsidRPr="00DA2AD4" w:rsidRDefault="008A49C2" w:rsidP="00E762AB">
            <w:pPr>
              <w:pStyle w:val="Header"/>
              <w:jc w:val="both"/>
              <w:rPr>
                <w:highlight w:val="yellow"/>
              </w:rPr>
            </w:pPr>
            <w:r>
              <w:t>C.S.</w:t>
            </w:r>
            <w:r w:rsidRPr="00C976D9">
              <w:t>H.B. 1044</w:t>
            </w:r>
            <w:r w:rsidRPr="00C976D9">
              <w:t xml:space="preserve"> amends the Water Code, for purposes of provisions relating to a permit for an injection well that transects or terminates in a portion of the Edwards Aquifer within the external boundaries of the Barton Springs-Edwards Aquifer Conservation District, to ch</w:t>
            </w:r>
            <w:r w:rsidRPr="00C976D9">
              <w:t>ange the applicability of the provisions from the portion of the Edwards Aquifer that is within the geographic area circumscribed by the external boundaries of the Barton Springs-Edwards Aquifer Conservation District but is not in that district's territory</w:t>
            </w:r>
            <w:r w:rsidRPr="00C976D9">
              <w:t xml:space="preserve"> or the territory of the Edwards Aquifer Authority to the portion of the Edwards </w:t>
            </w:r>
            <w:r w:rsidRPr="00DA2AD4">
              <w:t>A</w:t>
            </w:r>
            <w:r w:rsidRPr="00C976D9">
              <w:t>quifer that is within that geographic area but is not in the jurisdiction of the Edwards Aquifer Authority. The bill redefines "Edwards Aquifer" for the purposes of such prov</w:t>
            </w:r>
            <w:r w:rsidRPr="00C976D9">
              <w:t xml:space="preserve">isions </w:t>
            </w:r>
            <w:r>
              <w:t xml:space="preserve">and </w:t>
            </w:r>
            <w:r>
              <w:t>makes</w:t>
            </w:r>
            <w:r>
              <w:t xml:space="preserve"> the provisions </w:t>
            </w:r>
            <w:r>
              <w:t xml:space="preserve">inapplicable to </w:t>
            </w:r>
            <w:r w:rsidRPr="00CF0491">
              <w:t xml:space="preserve">a </w:t>
            </w:r>
            <w:r>
              <w:t xml:space="preserve">permitted </w:t>
            </w:r>
            <w:r w:rsidRPr="00CF0491">
              <w:t xml:space="preserve">wastewater facility </w:t>
            </w:r>
            <w:r>
              <w:t>and</w:t>
            </w:r>
            <w:r w:rsidRPr="00CF0491">
              <w:t xml:space="preserve"> a</w:t>
            </w:r>
            <w:r>
              <w:t xml:space="preserve"> permitted</w:t>
            </w:r>
            <w:r w:rsidRPr="00CF0491">
              <w:t xml:space="preserve"> subsur</w:t>
            </w:r>
            <w:r>
              <w:t xml:space="preserve">face area drip dispersal system.  </w:t>
            </w:r>
          </w:p>
          <w:p w:rsidR="004E3509" w:rsidRPr="00DA2AD4" w:rsidRDefault="008A49C2" w:rsidP="00E762AB">
            <w:pPr>
              <w:pStyle w:val="Header"/>
              <w:jc w:val="both"/>
              <w:rPr>
                <w:highlight w:val="yellow"/>
              </w:rPr>
            </w:pPr>
          </w:p>
          <w:p w:rsidR="00E65346" w:rsidRDefault="008A49C2" w:rsidP="00E762AB">
            <w:pPr>
              <w:pStyle w:val="Header"/>
              <w:jc w:val="both"/>
            </w:pPr>
            <w:r>
              <w:t>C.S.</w:t>
            </w:r>
            <w:r w:rsidRPr="00C976D9">
              <w:t>H.B. 1044</w:t>
            </w:r>
            <w:r w:rsidRPr="00C976D9">
              <w:t xml:space="preserve"> </w:t>
            </w:r>
            <w:r>
              <w:t>provides the option for</w:t>
            </w:r>
            <w:r>
              <w:t xml:space="preserve"> the </w:t>
            </w:r>
            <w:r w:rsidRPr="00804A8D">
              <w:t>Texas Commission on Environmental Quality (TCEQ)</w:t>
            </w:r>
            <w:r>
              <w:t xml:space="preserve"> </w:t>
            </w:r>
            <w:r>
              <w:t>to</w:t>
            </w:r>
            <w:r>
              <w:t xml:space="preserve"> authorize certain inject</w:t>
            </w:r>
            <w:r>
              <w:t xml:space="preserve">ion activities and injection </w:t>
            </w:r>
            <w:r w:rsidRPr="00FA225C">
              <w:t xml:space="preserve">wells by rule </w:t>
            </w:r>
            <w:r>
              <w:t>or</w:t>
            </w:r>
            <w:r w:rsidRPr="00FA225C">
              <w:t xml:space="preserve"> individual permit</w:t>
            </w:r>
            <w:r>
              <w:t xml:space="preserve"> as an alternative to doing so</w:t>
            </w:r>
            <w:r w:rsidRPr="00FA225C">
              <w:t xml:space="preserve"> </w:t>
            </w:r>
            <w:r w:rsidRPr="00FA225C">
              <w:t xml:space="preserve">by </w:t>
            </w:r>
            <w:r w:rsidRPr="00B00818">
              <w:t>general permit</w:t>
            </w:r>
            <w:r>
              <w:t xml:space="preserve">. The bill </w:t>
            </w:r>
            <w:r>
              <w:t xml:space="preserve">includes </w:t>
            </w:r>
            <w:r>
              <w:t>among the</w:t>
            </w:r>
            <w:r>
              <w:t xml:space="preserve"> injection activit</w:t>
            </w:r>
            <w:r>
              <w:t>ies that may be authorized</w:t>
            </w:r>
            <w:r>
              <w:t xml:space="preserve"> </w:t>
            </w:r>
            <w:r w:rsidRPr="00C976D9">
              <w:t>the injection of fresh water into a well that transects the Edwards Aqu</w:t>
            </w:r>
            <w:r w:rsidRPr="00C976D9">
              <w:t>ifer provided that</w:t>
            </w:r>
            <w:r>
              <w:t>:</w:t>
            </w:r>
          </w:p>
          <w:p w:rsidR="00E65346" w:rsidRDefault="008A49C2" w:rsidP="00E762AB">
            <w:pPr>
              <w:pStyle w:val="Header"/>
              <w:numPr>
                <w:ilvl w:val="0"/>
                <w:numId w:val="1"/>
              </w:numPr>
              <w:jc w:val="both"/>
            </w:pPr>
            <w:r w:rsidRPr="00C976D9">
              <w:t xml:space="preserve">the well isolates the Edwards Aquifer and meets applicable construction and completion standards adopted by TCEQ; </w:t>
            </w:r>
          </w:p>
          <w:p w:rsidR="00E65346" w:rsidRDefault="008A49C2" w:rsidP="00E762AB">
            <w:pPr>
              <w:pStyle w:val="Header"/>
              <w:numPr>
                <w:ilvl w:val="0"/>
                <w:numId w:val="1"/>
              </w:numPr>
              <w:jc w:val="both"/>
            </w:pPr>
            <w:r w:rsidRPr="00C976D9">
              <w:t xml:space="preserve">the well is part of an engineered aquifer storage and recovery facility; </w:t>
            </w:r>
          </w:p>
          <w:p w:rsidR="00E65346" w:rsidRDefault="008A49C2" w:rsidP="00E762AB">
            <w:pPr>
              <w:pStyle w:val="Header"/>
              <w:numPr>
                <w:ilvl w:val="0"/>
                <w:numId w:val="1"/>
              </w:numPr>
              <w:jc w:val="both"/>
            </w:pPr>
            <w:r w:rsidRPr="00C976D9">
              <w:t>the injected water is sourced from a public water system, as defined by TCEQ rule, that is permitted by TCEQ</w:t>
            </w:r>
            <w:r>
              <w:t xml:space="preserve"> or the injected water </w:t>
            </w:r>
            <w:r w:rsidRPr="00E65346">
              <w:t xml:space="preserve">meets water quality standards for public drinking water established by </w:t>
            </w:r>
            <w:r>
              <w:t>TCEQ</w:t>
            </w:r>
            <w:r w:rsidRPr="00E65346">
              <w:t xml:space="preserve"> rule</w:t>
            </w:r>
            <w:r w:rsidRPr="00C976D9">
              <w:t xml:space="preserve">; and </w:t>
            </w:r>
          </w:p>
          <w:p w:rsidR="00E65346" w:rsidRDefault="008A49C2" w:rsidP="00E762AB">
            <w:pPr>
              <w:pStyle w:val="Header"/>
              <w:numPr>
                <w:ilvl w:val="0"/>
                <w:numId w:val="1"/>
              </w:numPr>
              <w:jc w:val="both"/>
            </w:pPr>
            <w:r w:rsidRPr="00C976D9">
              <w:t>the injection complies with nonconflic</w:t>
            </w:r>
            <w:r w:rsidRPr="00C976D9">
              <w:t xml:space="preserve">ting aquifer storage and recovery project provisions. </w:t>
            </w:r>
          </w:p>
          <w:p w:rsidR="00E762AB" w:rsidRDefault="008A49C2" w:rsidP="00E762AB">
            <w:pPr>
              <w:pStyle w:val="Header"/>
              <w:jc w:val="both"/>
            </w:pPr>
          </w:p>
          <w:p w:rsidR="004E3509" w:rsidRPr="00DA2AD4" w:rsidRDefault="008A49C2" w:rsidP="00E762AB">
            <w:pPr>
              <w:pStyle w:val="Header"/>
              <w:jc w:val="both"/>
              <w:rPr>
                <w:highlight w:val="yellow"/>
              </w:rPr>
            </w:pPr>
            <w:r w:rsidRPr="00C976D9">
              <w:t>The bill extends to such an injection well provisions prohibiting applicable rules or a permit from authorizing an injection well unless the well is initially associated with certain small-scale resea</w:t>
            </w:r>
            <w:r w:rsidRPr="00C976D9">
              <w:t>rch projects</w:t>
            </w:r>
            <w:r>
              <w:t>.</w:t>
            </w:r>
            <w:r w:rsidRPr="00C976D9">
              <w:t xml:space="preserve"> </w:t>
            </w:r>
            <w:r w:rsidRPr="00C976D9">
              <w:t xml:space="preserve">The bill </w:t>
            </w:r>
            <w:r>
              <w:t xml:space="preserve">also </w:t>
            </w:r>
            <w:r w:rsidRPr="00C976D9">
              <w:t xml:space="preserve">extends to such an injection well </w:t>
            </w:r>
            <w:r w:rsidRPr="00C976D9">
              <w:t xml:space="preserve">provisions authorizing </w:t>
            </w:r>
            <w:r>
              <w:t xml:space="preserve">TCEQ </w:t>
            </w:r>
            <w:r w:rsidRPr="00C976D9">
              <w:t>to authorize the owner of an injection well to continue operating the well for the purpose of implementing a desalination or engineered aquifer storage and recovery p</w:t>
            </w:r>
            <w:r w:rsidRPr="00C976D9">
              <w:t xml:space="preserve">roject following completion of </w:t>
            </w:r>
            <w:r w:rsidRPr="00EF7DC4">
              <w:t>a</w:t>
            </w:r>
            <w:r w:rsidRPr="00C976D9">
              <w:t xml:space="preserve"> small-scale research project if certain conditions are met. The bill revises </w:t>
            </w:r>
            <w:r>
              <w:t>such</w:t>
            </w:r>
            <w:r w:rsidRPr="00C976D9">
              <w:t xml:space="preserve"> </w:t>
            </w:r>
            <w:r w:rsidRPr="00C976D9">
              <w:t xml:space="preserve">conditions to include consideration of the risks to </w:t>
            </w:r>
            <w:r>
              <w:t>the formations included in the</w:t>
            </w:r>
            <w:r w:rsidRPr="00C976D9">
              <w:t xml:space="preserve"> Trinity </w:t>
            </w:r>
            <w:r>
              <w:t>Group</w:t>
            </w:r>
            <w:r w:rsidRPr="00C976D9">
              <w:t xml:space="preserve">. The bill provides for the specification of </w:t>
            </w:r>
            <w:r w:rsidRPr="00C976D9">
              <w:t>operational controls for the prevention of unreasonable risk in applicable circumstances.</w:t>
            </w:r>
          </w:p>
          <w:p w:rsidR="004E3509" w:rsidRPr="00DA2AD4" w:rsidRDefault="008A49C2" w:rsidP="00E762AB">
            <w:pPr>
              <w:pStyle w:val="Header"/>
              <w:jc w:val="both"/>
              <w:rPr>
                <w:highlight w:val="yellow"/>
              </w:rPr>
            </w:pPr>
          </w:p>
          <w:p w:rsidR="008423E4" w:rsidRDefault="008A49C2" w:rsidP="00E762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Pr="00C976D9">
              <w:t>H.B. 1044</w:t>
            </w:r>
            <w:r w:rsidRPr="00C976D9">
              <w:t xml:space="preserve"> revises requirements for rules adopted or a permit issued under provisions relating to a permit for an injection well that transects or terminates in a</w:t>
            </w:r>
            <w:r w:rsidRPr="00C976D9">
              <w:t xml:space="preserve"> portion of the Edwards Aquifer within the external boundaries of the Barton Springs-Edwards Aquifer Conservation District with regard to the number of monitoring wells</w:t>
            </w:r>
            <w:r>
              <w:t xml:space="preserve"> </w:t>
            </w:r>
            <w:r w:rsidRPr="00C976D9">
              <w:t xml:space="preserve">and requires such rules and permits to </w:t>
            </w:r>
            <w:r>
              <w:t>ensure that an engineered aquifer storage and re</w:t>
            </w:r>
            <w:r>
              <w:t xml:space="preserve">covery facility project is </w:t>
            </w:r>
            <w:r w:rsidRPr="00C976D9">
              <w:t>consistent with nonconflicting aquifer storage and recovery project provisions.</w:t>
            </w:r>
            <w:r>
              <w:t xml:space="preserve">  </w:t>
            </w:r>
          </w:p>
          <w:p w:rsidR="008423E4" w:rsidRPr="00835628" w:rsidRDefault="008A49C2" w:rsidP="00E762AB">
            <w:pPr>
              <w:rPr>
                <w:b/>
              </w:rPr>
            </w:pPr>
          </w:p>
        </w:tc>
      </w:tr>
      <w:tr w:rsidR="00250DDE" w:rsidTr="00345119">
        <w:tc>
          <w:tcPr>
            <w:tcW w:w="9576" w:type="dxa"/>
          </w:tcPr>
          <w:p w:rsidR="008423E4" w:rsidRPr="00A8133F" w:rsidRDefault="008A49C2" w:rsidP="00E762A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A49C2" w:rsidP="00E762AB"/>
          <w:p w:rsidR="008423E4" w:rsidRPr="003624F2" w:rsidRDefault="008A49C2" w:rsidP="00E762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8A49C2" w:rsidP="00E762AB">
            <w:pPr>
              <w:rPr>
                <w:b/>
              </w:rPr>
            </w:pPr>
          </w:p>
        </w:tc>
      </w:tr>
      <w:tr w:rsidR="00250DDE" w:rsidTr="00345119">
        <w:tc>
          <w:tcPr>
            <w:tcW w:w="9576" w:type="dxa"/>
          </w:tcPr>
          <w:p w:rsidR="0078239D" w:rsidRDefault="008A49C2" w:rsidP="00E762A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37045E" w:rsidRDefault="008A49C2" w:rsidP="00E762AB">
            <w:pPr>
              <w:jc w:val="both"/>
            </w:pPr>
          </w:p>
          <w:p w:rsidR="0037045E" w:rsidRDefault="008A49C2" w:rsidP="00E762AB">
            <w:pPr>
              <w:jc w:val="both"/>
            </w:pPr>
            <w:r>
              <w:t>While C.S.H.B. 1044 may differ from the original in minor or nonsubstantive ways, the following summarizes the substantial differences between the introduced and committee substitute versions of the bill.</w:t>
            </w:r>
          </w:p>
          <w:p w:rsidR="0037045E" w:rsidRPr="00DB20DB" w:rsidRDefault="008A49C2" w:rsidP="00E762AB">
            <w:pPr>
              <w:jc w:val="both"/>
            </w:pPr>
          </w:p>
          <w:p w:rsidR="003C35BE" w:rsidRDefault="008A49C2" w:rsidP="00E762AB">
            <w:pPr>
              <w:jc w:val="both"/>
            </w:pPr>
            <w:r w:rsidRPr="00B00818">
              <w:t>The substitute redefines "Edwards Aquifer" in a di</w:t>
            </w:r>
            <w:r w:rsidRPr="00B00818">
              <w:t xml:space="preserve">fferent manner than the original. </w:t>
            </w:r>
            <w:r w:rsidRPr="00EC61E9">
              <w:t xml:space="preserve">The substitute </w:t>
            </w:r>
            <w:r>
              <w:t>makes</w:t>
            </w:r>
            <w:r w:rsidRPr="00B00818">
              <w:t xml:space="preserve"> provisions</w:t>
            </w:r>
            <w:r>
              <w:t xml:space="preserve"> </w:t>
            </w:r>
            <w:r>
              <w:t xml:space="preserve">relating to permits for injection wells that transect or terminate in </w:t>
            </w:r>
            <w:r>
              <w:t xml:space="preserve">a certain portion of </w:t>
            </w:r>
            <w:r>
              <w:t xml:space="preserve">the Edwards Aquifer </w:t>
            </w:r>
            <w:r>
              <w:t>inapplicable to</w:t>
            </w:r>
            <w:r w:rsidRPr="00B00818">
              <w:t xml:space="preserve"> a permitted wastewater facility and a permitted subsurface area</w:t>
            </w:r>
            <w:r w:rsidRPr="00B00818">
              <w:t xml:space="preserve"> drip dispersal system. </w:t>
            </w:r>
          </w:p>
          <w:p w:rsidR="003C35BE" w:rsidRDefault="008A49C2" w:rsidP="00E762AB">
            <w:pPr>
              <w:jc w:val="both"/>
            </w:pPr>
          </w:p>
          <w:p w:rsidR="009A5410" w:rsidRDefault="008A49C2" w:rsidP="00E762AB">
            <w:pPr>
              <w:jc w:val="both"/>
            </w:pPr>
            <w:r w:rsidRPr="00B00818">
              <w:t xml:space="preserve">The substitute does not include a provision conditioning the consideration of surface water or groundwater as fresh water for </w:t>
            </w:r>
            <w:r>
              <w:t>certain</w:t>
            </w:r>
            <w:r w:rsidRPr="00B00818">
              <w:t xml:space="preserve"> purposes on the water meeting the water quality standards for public drinking water established </w:t>
            </w:r>
            <w:r w:rsidRPr="00B00818">
              <w:t>by TCEQ rule.</w:t>
            </w:r>
            <w:r>
              <w:t xml:space="preserve"> </w:t>
            </w:r>
            <w:r w:rsidRPr="00B00818">
              <w:t xml:space="preserve">The substitute does not include </w:t>
            </w:r>
            <w:r>
              <w:t xml:space="preserve">changes replacing certain </w:t>
            </w:r>
            <w:r w:rsidRPr="00B00818">
              <w:t xml:space="preserve">references </w:t>
            </w:r>
            <w:r>
              <w:t xml:space="preserve">to </w:t>
            </w:r>
            <w:r w:rsidRPr="00B00818">
              <w:t>fresh water with references to native groundwater</w:t>
            </w:r>
            <w:r w:rsidRPr="00FA225C">
              <w:t>.</w:t>
            </w:r>
          </w:p>
          <w:p w:rsidR="00FA2212" w:rsidRDefault="008A49C2" w:rsidP="00E762AB">
            <w:pPr>
              <w:jc w:val="both"/>
            </w:pPr>
          </w:p>
          <w:p w:rsidR="001D7B5B" w:rsidRDefault="008A49C2" w:rsidP="00E762AB">
            <w:pPr>
              <w:jc w:val="both"/>
            </w:pPr>
            <w:r>
              <w:t xml:space="preserve">The substitute includes </w:t>
            </w:r>
            <w:r>
              <w:t>language</w:t>
            </w:r>
            <w:r w:rsidRPr="009A5410">
              <w:t xml:space="preserve"> </w:t>
            </w:r>
            <w:r>
              <w:t xml:space="preserve">providing the option for </w:t>
            </w:r>
            <w:r>
              <w:t xml:space="preserve">TCEQ </w:t>
            </w:r>
            <w:r>
              <w:t>to</w:t>
            </w:r>
            <w:r>
              <w:t xml:space="preserve"> authorize </w:t>
            </w:r>
            <w:r>
              <w:t>certain</w:t>
            </w:r>
            <w:r>
              <w:t xml:space="preserve"> injection activities and wells </w:t>
            </w:r>
            <w:r w:rsidRPr="009A5410">
              <w:t xml:space="preserve">by </w:t>
            </w:r>
            <w:r w:rsidRPr="009A5410">
              <w:t xml:space="preserve">rule </w:t>
            </w:r>
            <w:r>
              <w:t>or</w:t>
            </w:r>
            <w:r w:rsidRPr="009A5410">
              <w:t xml:space="preserve"> </w:t>
            </w:r>
            <w:r w:rsidRPr="009A5410">
              <w:t>individual</w:t>
            </w:r>
            <w:r>
              <w:t xml:space="preserve"> permit</w:t>
            </w:r>
            <w:r>
              <w:t xml:space="preserve"> as an alternative to doing so by general permit</w:t>
            </w:r>
            <w:r>
              <w:t>.</w:t>
            </w:r>
          </w:p>
          <w:p w:rsidR="00FA225C" w:rsidRDefault="008A49C2" w:rsidP="00E762AB">
            <w:pPr>
              <w:jc w:val="both"/>
            </w:pPr>
          </w:p>
          <w:p w:rsidR="009A5410" w:rsidRDefault="008A49C2" w:rsidP="00E762AB">
            <w:pPr>
              <w:jc w:val="both"/>
            </w:pPr>
            <w:r w:rsidRPr="00FA2212">
              <w:t xml:space="preserve">The substitute, </w:t>
            </w:r>
            <w:r w:rsidRPr="00FA2212">
              <w:t>with regard to the condition that water injected</w:t>
            </w:r>
            <w:r w:rsidRPr="00FA2212">
              <w:t xml:space="preserve"> into </w:t>
            </w:r>
            <w:r w:rsidRPr="00DB20DB">
              <w:t xml:space="preserve">certain </w:t>
            </w:r>
            <w:r w:rsidRPr="00FA2212">
              <w:t>well</w:t>
            </w:r>
            <w:r w:rsidRPr="00DB20DB">
              <w:t>s</w:t>
            </w:r>
            <w:r w:rsidRPr="00FA2212">
              <w:t xml:space="preserve"> transect</w:t>
            </w:r>
            <w:r w:rsidRPr="00DB20DB">
              <w:t>ing</w:t>
            </w:r>
            <w:r w:rsidRPr="00FA2212">
              <w:t xml:space="preserve"> the Edwards Aquifer</w:t>
            </w:r>
            <w:r w:rsidRPr="00FA2212">
              <w:t xml:space="preserve"> be sourced from a public water system </w:t>
            </w:r>
            <w:r>
              <w:t>that is</w:t>
            </w:r>
            <w:r w:rsidRPr="00FA2212">
              <w:t xml:space="preserve"> permitted by TCEQ,</w:t>
            </w:r>
            <w:r w:rsidRPr="00FA2212">
              <w:t xml:space="preserve"> establishes as an alternative</w:t>
            </w:r>
            <w:r w:rsidRPr="001A281C">
              <w:t xml:space="preserve"> condition that</w:t>
            </w:r>
            <w:r w:rsidRPr="001A281C">
              <w:t xml:space="preserve"> the </w:t>
            </w:r>
            <w:r w:rsidRPr="001A281C">
              <w:t>injected water meets water quality standards for public drinking water established by TCEQ rule</w:t>
            </w:r>
            <w:r>
              <w:t>.</w:t>
            </w:r>
          </w:p>
          <w:p w:rsidR="00971004" w:rsidRDefault="008A49C2" w:rsidP="00E762AB">
            <w:pPr>
              <w:jc w:val="both"/>
            </w:pPr>
          </w:p>
          <w:p w:rsidR="00971004" w:rsidRDefault="008A49C2" w:rsidP="00E762AB">
            <w:pPr>
              <w:jc w:val="both"/>
            </w:pPr>
            <w:r>
              <w:t>The substitute</w:t>
            </w:r>
            <w:r>
              <w:t xml:space="preserve"> changes </w:t>
            </w:r>
            <w:r>
              <w:t>a</w:t>
            </w:r>
            <w:r>
              <w:t xml:space="preserve"> requirement that applicable rules or permits</w:t>
            </w:r>
            <w:r w:rsidRPr="00A13D1F">
              <w:t xml:space="preserve"> </w:t>
            </w:r>
            <w:r>
              <w:t>be</w:t>
            </w:r>
            <w:r w:rsidRPr="00A13D1F">
              <w:t xml:space="preserve"> consistent with nonconflicting aqui</w:t>
            </w:r>
            <w:r w:rsidRPr="00A13D1F">
              <w:t>fer storage and recovery project provisions</w:t>
            </w:r>
            <w:r>
              <w:t xml:space="preserve"> to a requirement for applicable rules or permits to ensure that</w:t>
            </w:r>
            <w:r w:rsidRPr="00A13D1F">
              <w:t xml:space="preserve"> an engineered aquifer storage and recovery facility project is</w:t>
            </w:r>
            <w:r>
              <w:t xml:space="preserve"> consistent with such provisions.</w:t>
            </w:r>
          </w:p>
          <w:p w:rsidR="00A13D1F" w:rsidRDefault="008A49C2" w:rsidP="00E762AB">
            <w:pPr>
              <w:jc w:val="both"/>
            </w:pPr>
          </w:p>
          <w:p w:rsidR="00A13D1F" w:rsidRDefault="008A49C2" w:rsidP="00E762AB">
            <w:pPr>
              <w:jc w:val="both"/>
            </w:pPr>
            <w:r w:rsidRPr="00FA2212">
              <w:t xml:space="preserve">The substitute </w:t>
            </w:r>
            <w:r>
              <w:t>replaces</w:t>
            </w:r>
            <w:r w:rsidRPr="00FA2212">
              <w:t xml:space="preserve"> references to </w:t>
            </w:r>
            <w:r w:rsidRPr="00FA2212">
              <w:t>the Trinity</w:t>
            </w:r>
            <w:r w:rsidRPr="00FA2212">
              <w:t xml:space="preserve"> Aquifer </w:t>
            </w:r>
            <w:r>
              <w:t>with</w:t>
            </w:r>
            <w:r w:rsidRPr="00FA2212">
              <w:t xml:space="preserve"> references to </w:t>
            </w:r>
            <w:r w:rsidRPr="00FA2212">
              <w:t>formations included in the Trinity Group with regard to the consideration of applicable risks relating to the authorization for an own</w:t>
            </w:r>
            <w:r w:rsidRPr="001A281C">
              <w:t>er of certain injection wells to continue operating a well for the purpose of implementing a d</w:t>
            </w:r>
            <w:r w:rsidRPr="001A281C">
              <w:t xml:space="preserve">esalination or engineered aquifer storage and recovery project following </w:t>
            </w:r>
            <w:r>
              <w:br/>
            </w:r>
            <w:r>
              <w:br/>
            </w:r>
            <w:r>
              <w:br/>
            </w:r>
            <w:r w:rsidRPr="001A281C">
              <w:t>completion of a small-scale research project.</w:t>
            </w:r>
          </w:p>
          <w:p w:rsidR="00F912BE" w:rsidRDefault="008A49C2" w:rsidP="00E762AB">
            <w:pPr>
              <w:jc w:val="both"/>
            </w:pPr>
          </w:p>
          <w:p w:rsidR="00F912BE" w:rsidRPr="009E6213" w:rsidRDefault="008A49C2" w:rsidP="00E762AB">
            <w:pPr>
              <w:jc w:val="both"/>
            </w:pPr>
            <w:r>
              <w:t>The substitute includes a saving provision</w:t>
            </w:r>
            <w:r>
              <w:t xml:space="preserve"> making the bill's changes applicable only to an application for an authorization filed on </w:t>
            </w:r>
            <w:r>
              <w:t>or after the bill's effective date</w:t>
            </w:r>
            <w:r>
              <w:t>.</w:t>
            </w:r>
          </w:p>
          <w:p w:rsidR="0037045E" w:rsidRDefault="008A49C2" w:rsidP="00E762AB">
            <w:pPr>
              <w:jc w:val="both"/>
              <w:rPr>
                <w:b/>
                <w:u w:val="single"/>
              </w:rPr>
            </w:pPr>
          </w:p>
          <w:p w:rsidR="0037045E" w:rsidRDefault="008A49C2" w:rsidP="00E762AB">
            <w:pPr>
              <w:jc w:val="both"/>
              <w:rPr>
                <w:b/>
                <w:u w:val="single"/>
              </w:rPr>
            </w:pPr>
          </w:p>
          <w:p w:rsidR="0037045E" w:rsidRPr="0078239D" w:rsidRDefault="008A49C2" w:rsidP="00E762AB">
            <w:pPr>
              <w:jc w:val="both"/>
              <w:rPr>
                <w:b/>
                <w:u w:val="single"/>
              </w:rPr>
            </w:pPr>
          </w:p>
        </w:tc>
      </w:tr>
      <w:tr w:rsidR="00250DDE" w:rsidTr="00345119">
        <w:tc>
          <w:tcPr>
            <w:tcW w:w="9576" w:type="dxa"/>
          </w:tcPr>
          <w:p w:rsidR="0078239D" w:rsidRPr="009C1E9A" w:rsidRDefault="008A49C2" w:rsidP="00E762AB">
            <w:pPr>
              <w:rPr>
                <w:b/>
                <w:u w:val="single"/>
              </w:rPr>
            </w:pPr>
          </w:p>
        </w:tc>
      </w:tr>
      <w:tr w:rsidR="00250DDE" w:rsidTr="00345119">
        <w:tc>
          <w:tcPr>
            <w:tcW w:w="9576" w:type="dxa"/>
          </w:tcPr>
          <w:p w:rsidR="0078239D" w:rsidRPr="0078239D" w:rsidRDefault="008A49C2" w:rsidP="00E762AB">
            <w:pPr>
              <w:jc w:val="both"/>
            </w:pPr>
          </w:p>
        </w:tc>
      </w:tr>
    </w:tbl>
    <w:p w:rsidR="004108C3" w:rsidRPr="00DA2AD4" w:rsidRDefault="008A49C2" w:rsidP="008423E4">
      <w:pPr>
        <w:rPr>
          <w:sz w:val="2"/>
          <w:szCs w:val="2"/>
        </w:rPr>
      </w:pPr>
    </w:p>
    <w:sectPr w:rsidR="004108C3" w:rsidRPr="00DA2AD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49C2">
      <w:r>
        <w:separator/>
      </w:r>
    </w:p>
  </w:endnote>
  <w:endnote w:type="continuationSeparator" w:id="0">
    <w:p w:rsidR="00000000" w:rsidRDefault="008A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A4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50DDE" w:rsidTr="009C1E9A">
      <w:trPr>
        <w:cantSplit/>
      </w:trPr>
      <w:tc>
        <w:tcPr>
          <w:tcW w:w="0" w:type="pct"/>
        </w:tcPr>
        <w:p w:rsidR="00137D90" w:rsidRDefault="008A49C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A49C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A49C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A49C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A49C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50DDE" w:rsidTr="009C1E9A">
      <w:trPr>
        <w:cantSplit/>
      </w:trPr>
      <w:tc>
        <w:tcPr>
          <w:tcW w:w="0" w:type="pct"/>
        </w:tcPr>
        <w:p w:rsidR="00EC379B" w:rsidRDefault="008A49C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A49C2" w:rsidP="00D903FF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22500</w:t>
          </w:r>
        </w:p>
      </w:tc>
      <w:tc>
        <w:tcPr>
          <w:tcW w:w="2453" w:type="pct"/>
        </w:tcPr>
        <w:p w:rsidR="00EC379B" w:rsidRDefault="008A49C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19.87.154</w:t>
          </w:r>
          <w:r>
            <w:fldChar w:fldCharType="end"/>
          </w:r>
        </w:p>
      </w:tc>
    </w:tr>
    <w:tr w:rsidR="00250DDE" w:rsidTr="009C1E9A">
      <w:trPr>
        <w:cantSplit/>
      </w:trPr>
      <w:tc>
        <w:tcPr>
          <w:tcW w:w="0" w:type="pct"/>
        </w:tcPr>
        <w:p w:rsidR="00EC379B" w:rsidRDefault="008A49C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A49C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19472</w:t>
          </w:r>
        </w:p>
      </w:tc>
      <w:tc>
        <w:tcPr>
          <w:tcW w:w="2453" w:type="pct"/>
        </w:tcPr>
        <w:p w:rsidR="00EC379B" w:rsidRDefault="008A49C2" w:rsidP="006D504F">
          <w:pPr>
            <w:pStyle w:val="Footer"/>
            <w:rPr>
              <w:rStyle w:val="PageNumber"/>
            </w:rPr>
          </w:pPr>
        </w:p>
        <w:p w:rsidR="00EC379B" w:rsidRDefault="008A49C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50DDE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A49C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  <w:p w:rsidR="00EC379B" w:rsidRDefault="008A49C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A49C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A4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49C2">
      <w:r>
        <w:separator/>
      </w:r>
    </w:p>
  </w:footnote>
  <w:footnote w:type="continuationSeparator" w:id="0">
    <w:p w:rsidR="00000000" w:rsidRDefault="008A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A4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A49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A4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1EFC"/>
    <w:multiLevelType w:val="hybridMultilevel"/>
    <w:tmpl w:val="E338676C"/>
    <w:lvl w:ilvl="0" w:tplc="8A066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C4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03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CD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6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8F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C5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2F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5CA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A26C6"/>
    <w:multiLevelType w:val="hybridMultilevel"/>
    <w:tmpl w:val="79866442"/>
    <w:lvl w:ilvl="0" w:tplc="E8E09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241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C2A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E6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07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8A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C7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6C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E0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DE"/>
    <w:rsid w:val="00250DDE"/>
    <w:rsid w:val="008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C128FB-9478-419F-B6D5-DD46BEE6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B58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58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58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58B8"/>
    <w:rPr>
      <w:b/>
      <w:bCs/>
    </w:rPr>
  </w:style>
  <w:style w:type="character" w:styleId="Hyperlink">
    <w:name w:val="Hyperlink"/>
    <w:basedOn w:val="DefaultParagraphFont"/>
    <w:unhideWhenUsed/>
    <w:rsid w:val="004451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42D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5556</Characters>
  <Application>Microsoft Office Word</Application>
  <DocSecurity>4</DocSecurity>
  <Lines>121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HB01044 (Committee Report (Substituted))</vt:lpstr>
    </vt:vector>
  </TitlesOfParts>
  <Company>State of Texas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22500</dc:subject>
  <dc:creator>State of Texas</dc:creator>
  <dc:description>HB 1044 by Zwiener-(H)Natural Resources (Substitute Document Number: 86R 19472)</dc:description>
  <cp:lastModifiedBy>Stacey Nicchio</cp:lastModifiedBy>
  <cp:revision>2</cp:revision>
  <cp:lastPrinted>2003-11-26T17:21:00Z</cp:lastPrinted>
  <dcterms:created xsi:type="dcterms:W3CDTF">2019-04-12T22:24:00Z</dcterms:created>
  <dcterms:modified xsi:type="dcterms:W3CDTF">2019-04-12T22:24:00Z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19.87.154</vt:lpwstr>
  </property>
</Properties>
</file>