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11" w:rsidRDefault="00047F14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38C9" w:rsidTr="00345119">
        <w:tc>
          <w:tcPr>
            <w:tcW w:w="9576" w:type="dxa"/>
            <w:noWrap/>
          </w:tcPr>
          <w:p w:rsidR="008423E4" w:rsidRPr="0022177D" w:rsidRDefault="00047F14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047F14" w:rsidP="008423E4">
      <w:pPr>
        <w:jc w:val="center"/>
      </w:pPr>
    </w:p>
    <w:p w:rsidR="008423E4" w:rsidRPr="00B31F0E" w:rsidRDefault="00047F14" w:rsidP="008423E4"/>
    <w:p w:rsidR="008423E4" w:rsidRPr="00742794" w:rsidRDefault="00047F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38C9" w:rsidTr="00345119">
        <w:tc>
          <w:tcPr>
            <w:tcW w:w="9576" w:type="dxa"/>
          </w:tcPr>
          <w:p w:rsidR="008423E4" w:rsidRPr="00861995" w:rsidRDefault="00047F14" w:rsidP="00345119">
            <w:pPr>
              <w:jc w:val="right"/>
            </w:pPr>
            <w:r>
              <w:t>H.B. 1059</w:t>
            </w:r>
          </w:p>
        </w:tc>
      </w:tr>
      <w:tr w:rsidR="001C38C9" w:rsidTr="00345119">
        <w:tc>
          <w:tcPr>
            <w:tcW w:w="9576" w:type="dxa"/>
          </w:tcPr>
          <w:p w:rsidR="008423E4" w:rsidRPr="00861995" w:rsidRDefault="00047F14" w:rsidP="009432D3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1C38C9" w:rsidTr="00345119">
        <w:tc>
          <w:tcPr>
            <w:tcW w:w="9576" w:type="dxa"/>
          </w:tcPr>
          <w:p w:rsidR="008423E4" w:rsidRPr="00861995" w:rsidRDefault="00047F14" w:rsidP="00345119">
            <w:pPr>
              <w:jc w:val="right"/>
            </w:pPr>
            <w:r>
              <w:t>Natural Resources</w:t>
            </w:r>
          </w:p>
        </w:tc>
      </w:tr>
      <w:tr w:rsidR="001C38C9" w:rsidTr="00345119">
        <w:tc>
          <w:tcPr>
            <w:tcW w:w="9576" w:type="dxa"/>
          </w:tcPr>
          <w:p w:rsidR="008423E4" w:rsidRDefault="00047F1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47F14" w:rsidP="008423E4">
      <w:pPr>
        <w:tabs>
          <w:tab w:val="right" w:pos="9360"/>
        </w:tabs>
      </w:pPr>
    </w:p>
    <w:p w:rsidR="008423E4" w:rsidRDefault="00047F14" w:rsidP="008423E4"/>
    <w:p w:rsidR="008423E4" w:rsidRDefault="00047F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38C9" w:rsidTr="00345119">
        <w:tc>
          <w:tcPr>
            <w:tcW w:w="9576" w:type="dxa"/>
          </w:tcPr>
          <w:p w:rsidR="008423E4" w:rsidRPr="00A8133F" w:rsidRDefault="00047F14" w:rsidP="00E303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7F14" w:rsidP="00E30375"/>
          <w:p w:rsidR="008423E4" w:rsidRDefault="00047F14" w:rsidP="00E30375">
            <w:pPr>
              <w:pStyle w:val="Header"/>
              <w:jc w:val="both"/>
            </w:pPr>
            <w:r>
              <w:t xml:space="preserve">There have been calls to improve stormwater infrastructure used in Texas and to </w:t>
            </w:r>
            <w:r>
              <w:t xml:space="preserve">periodically </w:t>
            </w:r>
            <w:r>
              <w:t xml:space="preserve">assess the benefits </w:t>
            </w:r>
            <w:r>
              <w:t>storm</w:t>
            </w:r>
            <w:r>
              <w:t xml:space="preserve">water can have on </w:t>
            </w:r>
            <w:r>
              <w:t>the</w:t>
            </w:r>
            <w:r>
              <w:t xml:space="preserve"> environment.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1059</w:t>
            </w:r>
            <w:r>
              <w:t xml:space="preserve"> seeks to address this issue</w:t>
            </w:r>
            <w:r>
              <w:t xml:space="preserve"> by</w:t>
            </w:r>
            <w:r>
              <w:t xml:space="preserve"> </w:t>
            </w:r>
            <w:r>
              <w:t xml:space="preserve">establishing the green stormwater infrastructure and low impact development report group to prepare </w:t>
            </w:r>
            <w:r>
              <w:t>a biennial report</w:t>
            </w:r>
            <w:r>
              <w:t xml:space="preserve"> regarding such matters</w:t>
            </w:r>
            <w:r>
              <w:t>.</w:t>
            </w:r>
          </w:p>
          <w:p w:rsidR="008423E4" w:rsidRPr="00E26B13" w:rsidRDefault="00047F14" w:rsidP="00E30375">
            <w:pPr>
              <w:rPr>
                <w:b/>
              </w:rPr>
            </w:pPr>
          </w:p>
        </w:tc>
      </w:tr>
      <w:tr w:rsidR="001C38C9" w:rsidTr="00345119">
        <w:tc>
          <w:tcPr>
            <w:tcW w:w="9576" w:type="dxa"/>
          </w:tcPr>
          <w:p w:rsidR="0017725B" w:rsidRDefault="00047F14" w:rsidP="00E303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7F14" w:rsidP="00E30375">
            <w:pPr>
              <w:rPr>
                <w:b/>
                <w:u w:val="single"/>
              </w:rPr>
            </w:pPr>
          </w:p>
          <w:p w:rsidR="00F33C46" w:rsidRPr="00F33C46" w:rsidRDefault="00047F14" w:rsidP="00E30375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047F14" w:rsidP="00E30375">
            <w:pPr>
              <w:rPr>
                <w:b/>
                <w:u w:val="single"/>
              </w:rPr>
            </w:pPr>
          </w:p>
        </w:tc>
      </w:tr>
      <w:tr w:rsidR="001C38C9" w:rsidTr="00345119">
        <w:tc>
          <w:tcPr>
            <w:tcW w:w="9576" w:type="dxa"/>
          </w:tcPr>
          <w:p w:rsidR="008423E4" w:rsidRPr="00A8133F" w:rsidRDefault="00047F14" w:rsidP="00E303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7F14" w:rsidP="00E30375"/>
          <w:p w:rsidR="00F33C46" w:rsidRDefault="00047F14" w:rsidP="00E30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47F14" w:rsidP="00E30375">
            <w:pPr>
              <w:rPr>
                <w:b/>
              </w:rPr>
            </w:pPr>
          </w:p>
        </w:tc>
      </w:tr>
      <w:tr w:rsidR="001C38C9" w:rsidTr="00345119">
        <w:tc>
          <w:tcPr>
            <w:tcW w:w="9576" w:type="dxa"/>
          </w:tcPr>
          <w:p w:rsidR="008423E4" w:rsidRPr="00A8133F" w:rsidRDefault="00047F14" w:rsidP="00E303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7F14" w:rsidP="00E30375"/>
          <w:p w:rsidR="00CF0FF5" w:rsidRDefault="00047F14" w:rsidP="003F28FB">
            <w:pPr>
              <w:pStyle w:val="Header"/>
              <w:spacing w:after="120"/>
              <w:jc w:val="both"/>
            </w:pPr>
            <w:r w:rsidRPr="00ED7C96">
              <w:t>H.B. 1059</w:t>
            </w:r>
            <w:r>
              <w:t xml:space="preserve"> amends the Water Code to require the Texas Commission on Environmental Quality (TCEQ) each state fiscal biennium to appoint a green stormwater infrastructure and low impact development report group to prepare a report on the use of green stormwater infras</w:t>
            </w:r>
            <w:r>
              <w:t xml:space="preserve">tructure and low impact development in Texas. The bill provides for the group's composition and appointment </w:t>
            </w:r>
            <w:r w:rsidRPr="00673266">
              <w:t xml:space="preserve">and requires TCEQ to appoint the members of the first group in a timely manner to ensure that the group is able to prepare the report by January 1, </w:t>
            </w:r>
            <w:r w:rsidRPr="00673266">
              <w:t>2021.</w:t>
            </w:r>
            <w:r>
              <w:t xml:space="preserve"> The bill defines "green stormwater infrastructure," also known as "low impact development," as systems and practices that:</w:t>
            </w:r>
          </w:p>
          <w:p w:rsidR="00CF0FF5" w:rsidRDefault="00047F14" w:rsidP="00E30375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use or mimic natural processes that result in the infiltration, evapotranspiration, treatment, or use of stormwater; </w:t>
            </w:r>
          </w:p>
          <w:p w:rsidR="00CF0FF5" w:rsidRDefault="00047F14" w:rsidP="00E3037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manage st</w:t>
            </w:r>
            <w:r>
              <w:t xml:space="preserve">ormwater, protect water quality and associated habitat, or augment or replace conventional engineered stormwater systems; </w:t>
            </w:r>
          </w:p>
          <w:p w:rsidR="00CF0FF5" w:rsidRDefault="00047F14" w:rsidP="00E3037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meet local requirements for post</w:t>
            </w:r>
            <w:r>
              <w:t>-</w:t>
            </w:r>
            <w:r>
              <w:t xml:space="preserve">development stormwater retention and detention and erosion management; and </w:t>
            </w:r>
          </w:p>
          <w:p w:rsidR="00CF0FF5" w:rsidRDefault="00047F14" w:rsidP="00E30375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are considered best management practices. </w:t>
            </w:r>
          </w:p>
          <w:p w:rsidR="00CF0FF5" w:rsidRDefault="00047F14" w:rsidP="00E30375">
            <w:pPr>
              <w:pStyle w:val="Header"/>
              <w:jc w:val="both"/>
            </w:pPr>
          </w:p>
          <w:p w:rsidR="00295F16" w:rsidRDefault="00047F14" w:rsidP="00E30375">
            <w:pPr>
              <w:pStyle w:val="Header"/>
              <w:jc w:val="both"/>
            </w:pPr>
            <w:r w:rsidRPr="00ED7C96">
              <w:t>H.B. 1059</w:t>
            </w:r>
            <w:r>
              <w:t xml:space="preserve"> </w:t>
            </w:r>
            <w:r>
              <w:t xml:space="preserve">requires each report to include: </w:t>
            </w:r>
          </w:p>
          <w:p w:rsidR="00295F16" w:rsidRDefault="00047F14" w:rsidP="00E303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list of each county, municipality, and special district with land development authority that allows the use of green stormwater infrastructure and low impact developm</w:t>
            </w:r>
            <w:r>
              <w:t xml:space="preserve">ent in land development projects in the county, municipal, or district territory; </w:t>
            </w:r>
          </w:p>
          <w:p w:rsidR="00295F16" w:rsidRDefault="00047F14" w:rsidP="00E303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certain specified estimates relating to private and public projects and sites in Texas that use green stormwater infrastructure and low impact development; </w:t>
            </w:r>
          </w:p>
          <w:p w:rsidR="00295F16" w:rsidRDefault="00047F14" w:rsidP="00E303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monetized asse</w:t>
            </w:r>
            <w:r>
              <w:t xml:space="preserve">ssment of the social, economic, and environmental benefits realized by the use of green stormwater infrastructure and low impact development in Texas; </w:t>
            </w:r>
          </w:p>
          <w:p w:rsidR="00295F16" w:rsidRDefault="00047F14" w:rsidP="00E303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assessment of typical impediments to the use of green stormwater infrastructure and low impact develo</w:t>
            </w:r>
            <w:r>
              <w:t xml:space="preserve">pment in local development codes; </w:t>
            </w:r>
          </w:p>
          <w:p w:rsidR="00295F16" w:rsidRDefault="00047F14" w:rsidP="00E303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 assessment of impediments in state law and policies to the use of green stormwater infrastructure and low impact development; and </w:t>
            </w:r>
          </w:p>
          <w:p w:rsidR="003246EC" w:rsidRDefault="00047F14" w:rsidP="00E303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recommendations to encourage increased use and deployment of green stormwater infrastru</w:t>
            </w:r>
            <w:r>
              <w:t>cture and low impact development in Texas</w:t>
            </w:r>
            <w:r w:rsidRPr="00673266">
              <w:t xml:space="preserve">. </w:t>
            </w:r>
          </w:p>
          <w:p w:rsidR="00ED7C96" w:rsidRDefault="00047F14" w:rsidP="00E30375">
            <w:pPr>
              <w:pStyle w:val="Header"/>
              <w:spacing w:before="120" w:after="120"/>
              <w:jc w:val="both"/>
            </w:pPr>
            <w:r w:rsidRPr="00673266">
              <w:t>The bill establishes that the first biennial report prepared by the group is required to include only such information that TCEQ requires to be in the report.</w:t>
            </w:r>
            <w:r>
              <w:t xml:space="preserve"> </w:t>
            </w:r>
          </w:p>
          <w:p w:rsidR="00ED7C96" w:rsidRDefault="00047F14" w:rsidP="00E30375">
            <w:pPr>
              <w:pStyle w:val="Header"/>
              <w:jc w:val="both"/>
            </w:pPr>
          </w:p>
          <w:p w:rsidR="00E975B7" w:rsidRDefault="00047F14" w:rsidP="00E30375">
            <w:pPr>
              <w:pStyle w:val="Header"/>
              <w:jc w:val="both"/>
            </w:pPr>
            <w:r w:rsidRPr="00ED7C96">
              <w:t>H.B. 1059</w:t>
            </w:r>
            <w:r>
              <w:t xml:space="preserve"> requires TCEQ to publicly solicit informa</w:t>
            </w:r>
            <w:r>
              <w:t xml:space="preserve">tion to support the preparation of the report and cooperate with the group in providing information or access to information. The bill requires the group to: </w:t>
            </w:r>
          </w:p>
          <w:p w:rsidR="00E975B7" w:rsidRDefault="00047F14" w:rsidP="00E3037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conduct at least one meeting to receive input on the preparation of the report</w:t>
            </w:r>
            <w:r>
              <w:t>;</w:t>
            </w:r>
            <w:r>
              <w:t xml:space="preserve"> </w:t>
            </w:r>
          </w:p>
          <w:p w:rsidR="00E975B7" w:rsidRDefault="00047F14" w:rsidP="00E3037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prepare a draft </w:t>
            </w:r>
            <w:r>
              <w:t>report</w:t>
            </w:r>
            <w:r>
              <w:t>;</w:t>
            </w:r>
            <w:r>
              <w:t xml:space="preserve"> </w:t>
            </w:r>
          </w:p>
          <w:p w:rsidR="00E975B7" w:rsidRDefault="00047F14" w:rsidP="00E3037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publish the draft report and solicit comments on the draft report</w:t>
            </w:r>
            <w:r>
              <w:t>;</w:t>
            </w:r>
            <w:r>
              <w:t xml:space="preserve"> </w:t>
            </w:r>
          </w:p>
          <w:p w:rsidR="00E975B7" w:rsidRDefault="00047F14" w:rsidP="00E3037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prepare a response-to-comments document and finalize the report</w:t>
            </w:r>
            <w:r>
              <w:t>;</w:t>
            </w:r>
            <w:r>
              <w:t xml:space="preserve"> and </w:t>
            </w:r>
          </w:p>
          <w:p w:rsidR="008423E4" w:rsidRDefault="00047F14" w:rsidP="00E3037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submit</w:t>
            </w:r>
            <w:r>
              <w:t xml:space="preserve"> the final report</w:t>
            </w:r>
            <w:r>
              <w:t xml:space="preserve">, </w:t>
            </w:r>
            <w:r>
              <w:t xml:space="preserve">not later than January 1 of the second year of the state fiscal biennium, to each </w:t>
            </w:r>
            <w:r>
              <w:t>member of TCEQ, the governor, the lieutenant governor, the speaker of the house of representatives, and each member of the legislature.</w:t>
            </w:r>
          </w:p>
          <w:p w:rsidR="008423E4" w:rsidRPr="00835628" w:rsidRDefault="00047F14" w:rsidP="00E30375">
            <w:pPr>
              <w:rPr>
                <w:b/>
              </w:rPr>
            </w:pPr>
          </w:p>
        </w:tc>
      </w:tr>
      <w:tr w:rsidR="001C38C9" w:rsidTr="00345119">
        <w:tc>
          <w:tcPr>
            <w:tcW w:w="9576" w:type="dxa"/>
          </w:tcPr>
          <w:p w:rsidR="008423E4" w:rsidRPr="00A8133F" w:rsidRDefault="00047F14" w:rsidP="00E303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47F14" w:rsidP="00E30375"/>
          <w:p w:rsidR="008423E4" w:rsidRPr="003624F2" w:rsidRDefault="00047F14" w:rsidP="00E30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33C46">
              <w:t>September 1, 2019.</w:t>
            </w:r>
          </w:p>
          <w:p w:rsidR="008423E4" w:rsidRPr="00233FDB" w:rsidRDefault="00047F14" w:rsidP="00E30375">
            <w:pPr>
              <w:rPr>
                <w:b/>
              </w:rPr>
            </w:pPr>
          </w:p>
        </w:tc>
      </w:tr>
    </w:tbl>
    <w:p w:rsidR="008423E4" w:rsidRPr="00BE0E75" w:rsidRDefault="00047F1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47F1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7F14">
      <w:r>
        <w:separator/>
      </w:r>
    </w:p>
  </w:endnote>
  <w:endnote w:type="continuationSeparator" w:id="0">
    <w:p w:rsidR="00000000" w:rsidRDefault="0004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38C9" w:rsidTr="009C1E9A">
      <w:trPr>
        <w:cantSplit/>
      </w:trPr>
      <w:tc>
        <w:tcPr>
          <w:tcW w:w="0" w:type="pct"/>
        </w:tcPr>
        <w:p w:rsidR="00137D90" w:rsidRDefault="00047F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7F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7F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7F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7F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38C9" w:rsidTr="009C1E9A">
      <w:trPr>
        <w:cantSplit/>
      </w:trPr>
      <w:tc>
        <w:tcPr>
          <w:tcW w:w="0" w:type="pct"/>
        </w:tcPr>
        <w:p w:rsidR="00EC379B" w:rsidRDefault="00047F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7F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24899</w:t>
          </w:r>
        </w:p>
      </w:tc>
      <w:tc>
        <w:tcPr>
          <w:tcW w:w="2453" w:type="pct"/>
        </w:tcPr>
        <w:p w:rsidR="00EC379B" w:rsidRDefault="00047F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19.96.97</w:t>
          </w:r>
          <w:r>
            <w:fldChar w:fldCharType="end"/>
          </w:r>
        </w:p>
      </w:tc>
    </w:tr>
    <w:tr w:rsidR="001C38C9" w:rsidTr="009C1E9A">
      <w:trPr>
        <w:cantSplit/>
      </w:trPr>
      <w:tc>
        <w:tcPr>
          <w:tcW w:w="0" w:type="pct"/>
        </w:tcPr>
        <w:p w:rsidR="00EC379B" w:rsidRDefault="00047F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7F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47F14" w:rsidP="006D504F">
          <w:pPr>
            <w:pStyle w:val="Footer"/>
            <w:rPr>
              <w:rStyle w:val="PageNumber"/>
            </w:rPr>
          </w:pPr>
        </w:p>
        <w:p w:rsidR="00EC379B" w:rsidRDefault="00047F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38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7F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7F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7F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7F14">
      <w:r>
        <w:separator/>
      </w:r>
    </w:p>
  </w:footnote>
  <w:footnote w:type="continuationSeparator" w:id="0">
    <w:p w:rsidR="00000000" w:rsidRDefault="0004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7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7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7D94"/>
    <w:multiLevelType w:val="hybridMultilevel"/>
    <w:tmpl w:val="43D2292C"/>
    <w:lvl w:ilvl="0" w:tplc="3E50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0C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8D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2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41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E1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EF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A7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05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1324"/>
    <w:multiLevelType w:val="hybridMultilevel"/>
    <w:tmpl w:val="EB06EC80"/>
    <w:lvl w:ilvl="0" w:tplc="A4C6E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CC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A7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9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D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65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A3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8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AB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77E6"/>
    <w:multiLevelType w:val="hybridMultilevel"/>
    <w:tmpl w:val="F18E961C"/>
    <w:lvl w:ilvl="0" w:tplc="763A0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6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4B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82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65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E9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AB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AC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A1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C9"/>
    <w:rsid w:val="00047F14"/>
    <w:rsid w:val="001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30F1E7-E207-4E38-A1DC-4B780F0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7A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7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7A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7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4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HB01059 (Committee Report (Unamended))</vt:lpstr>
    </vt:vector>
  </TitlesOfParts>
  <Company>State of Texas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24899</dc:subject>
  <dc:creator>State of Texas</dc:creator>
  <dc:description>HB 1059 by Lucio III-(H)Natural Resources</dc:description>
  <cp:lastModifiedBy>Scotty Wimberley</cp:lastModifiedBy>
  <cp:revision>2</cp:revision>
  <cp:lastPrinted>2003-11-26T17:21:00Z</cp:lastPrinted>
  <dcterms:created xsi:type="dcterms:W3CDTF">2019-04-24T02:13:00Z</dcterms:created>
  <dcterms:modified xsi:type="dcterms:W3CDTF">2019-04-24T02:13:00Z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19.96.97</vt:lpwstr>
  </property>
</Properties>
</file>