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1C" w:rsidRDefault="0017561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B3D395D5EDF4383BCBF93D4C721D26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7561C" w:rsidRPr="00585C31" w:rsidRDefault="0017561C" w:rsidP="000F1DF9">
      <w:pPr>
        <w:spacing w:after="0" w:line="240" w:lineRule="auto"/>
        <w:rPr>
          <w:rFonts w:cs="Times New Roman"/>
          <w:szCs w:val="24"/>
        </w:rPr>
      </w:pPr>
    </w:p>
    <w:p w:rsidR="0017561C" w:rsidRPr="00585C31" w:rsidRDefault="0017561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7561C" w:rsidTr="000F1DF9">
        <w:tc>
          <w:tcPr>
            <w:tcW w:w="2718" w:type="dxa"/>
          </w:tcPr>
          <w:p w:rsidR="0017561C" w:rsidRPr="005C2A78" w:rsidRDefault="0017561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AEB1DD753D94486DA195A8F4FA70479D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7561C" w:rsidRPr="00FF6471" w:rsidRDefault="0017561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CC9792950A542ECBDFEDAD7E28DF0D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1066</w:t>
                </w:r>
              </w:sdtContent>
            </w:sdt>
          </w:p>
        </w:tc>
      </w:tr>
      <w:tr w:rsidR="0017561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C3A95A5F0F64908AAF1C6067E6A4CFB"/>
            </w:placeholder>
          </w:sdtPr>
          <w:sdtContent>
            <w:tc>
              <w:tcPr>
                <w:tcW w:w="2718" w:type="dxa"/>
              </w:tcPr>
              <w:p w:rsidR="0017561C" w:rsidRPr="000F1DF9" w:rsidRDefault="0017561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86R19922 GRM-F</w:t>
                </w:r>
              </w:p>
            </w:tc>
          </w:sdtContent>
        </w:sdt>
        <w:tc>
          <w:tcPr>
            <w:tcW w:w="6858" w:type="dxa"/>
          </w:tcPr>
          <w:p w:rsidR="0017561C" w:rsidRPr="005C2A78" w:rsidRDefault="0017561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77555F992A0494F8340FF656C3A8C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68D4A5B655474109B7980A77293566F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Ashby; Larson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1B6BEF974E254127B1A720AB4C1D374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(Perry)</w:t>
                </w:r>
              </w:sdtContent>
            </w:sdt>
          </w:p>
        </w:tc>
      </w:tr>
      <w:tr w:rsidR="0017561C" w:rsidTr="000F1DF9">
        <w:tc>
          <w:tcPr>
            <w:tcW w:w="2718" w:type="dxa"/>
          </w:tcPr>
          <w:p w:rsidR="0017561C" w:rsidRPr="00BC7495" w:rsidRDefault="0017561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19FE46A9ADE4CF483448DFC825FD60F"/>
            </w:placeholder>
          </w:sdtPr>
          <w:sdtContent>
            <w:tc>
              <w:tcPr>
                <w:tcW w:w="6858" w:type="dxa"/>
              </w:tcPr>
              <w:p w:rsidR="0017561C" w:rsidRPr="00FF6471" w:rsidRDefault="0017561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Water &amp; Rural Affairs</w:t>
                </w:r>
              </w:p>
            </w:tc>
          </w:sdtContent>
        </w:sdt>
      </w:tr>
      <w:tr w:rsidR="0017561C" w:rsidTr="000F1DF9">
        <w:tc>
          <w:tcPr>
            <w:tcW w:w="2718" w:type="dxa"/>
          </w:tcPr>
          <w:p w:rsidR="0017561C" w:rsidRPr="00BC7495" w:rsidRDefault="0017561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72ACF56AE6D4914A9458833B1504511"/>
            </w:placeholder>
            <w:date w:fullDate="2019-04-25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7561C" w:rsidRPr="00FF6471" w:rsidRDefault="0017561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4/25/2019</w:t>
                </w:r>
              </w:p>
            </w:tc>
          </w:sdtContent>
        </w:sdt>
      </w:tr>
      <w:tr w:rsidR="0017561C" w:rsidTr="000F1DF9">
        <w:tc>
          <w:tcPr>
            <w:tcW w:w="2718" w:type="dxa"/>
          </w:tcPr>
          <w:p w:rsidR="0017561C" w:rsidRPr="00BC7495" w:rsidRDefault="0017561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835D2269931943A0B31B3A903635C6E4"/>
            </w:placeholder>
          </w:sdtPr>
          <w:sdtContent>
            <w:tc>
              <w:tcPr>
                <w:tcW w:w="6858" w:type="dxa"/>
              </w:tcPr>
              <w:p w:rsidR="0017561C" w:rsidRPr="00FF6471" w:rsidRDefault="0017561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7561C" w:rsidRPr="00FF6471" w:rsidRDefault="0017561C" w:rsidP="000F1DF9">
      <w:pPr>
        <w:spacing w:after="0" w:line="240" w:lineRule="auto"/>
        <w:rPr>
          <w:rFonts w:cs="Times New Roman"/>
          <w:szCs w:val="24"/>
        </w:rPr>
      </w:pPr>
    </w:p>
    <w:p w:rsidR="0017561C" w:rsidRPr="00FF6471" w:rsidRDefault="0017561C" w:rsidP="000F1DF9">
      <w:pPr>
        <w:spacing w:after="0" w:line="240" w:lineRule="auto"/>
        <w:rPr>
          <w:rFonts w:cs="Times New Roman"/>
          <w:szCs w:val="24"/>
        </w:rPr>
      </w:pPr>
    </w:p>
    <w:p w:rsidR="0017561C" w:rsidRPr="00FF6471" w:rsidRDefault="0017561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AC696A78A224482AE3C43223F8D58BA"/>
        </w:placeholder>
      </w:sdtPr>
      <w:sdtContent>
        <w:p w:rsidR="0017561C" w:rsidRDefault="0017561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7ACD3FECF4FF4CEE878D7F1EEF12E200"/>
        </w:placeholder>
      </w:sdtPr>
      <w:sdtContent>
        <w:p w:rsidR="0017561C" w:rsidRDefault="0017561C" w:rsidP="0017561C">
          <w:pPr>
            <w:pStyle w:val="NormalWeb"/>
            <w:spacing w:before="0" w:beforeAutospacing="0" w:after="0" w:afterAutospacing="0"/>
            <w:jc w:val="both"/>
            <w:divId w:val="1316685387"/>
            <w:rPr>
              <w:rFonts w:eastAsia="Times New Roman" w:cstheme="minorBidi"/>
              <w:bCs/>
              <w:szCs w:val="22"/>
            </w:rPr>
          </w:pPr>
        </w:p>
        <w:p w:rsidR="0017561C" w:rsidRDefault="0017561C" w:rsidP="0017561C">
          <w:pPr>
            <w:pStyle w:val="NormalWeb"/>
            <w:spacing w:before="0" w:beforeAutospacing="0" w:after="0" w:afterAutospacing="0"/>
            <w:jc w:val="both"/>
            <w:divId w:val="1316685387"/>
            <w:rPr>
              <w:color w:val="000000"/>
            </w:rPr>
          </w:pPr>
          <w:r w:rsidRPr="005D1D23">
            <w:rPr>
              <w:color w:val="000000"/>
            </w:rPr>
            <w:t>The right of landowners to produce and transfer groundwater in most of Texas is regulated</w:t>
          </w:r>
          <w:r>
            <w:rPr>
              <w:color w:val="000000"/>
            </w:rPr>
            <w:t xml:space="preserve"> by</w:t>
          </w:r>
          <w:r w:rsidRPr="005D1D23">
            <w:rPr>
              <w:color w:val="000000"/>
            </w:rPr>
            <w:t xml:space="preserve"> </w:t>
          </w:r>
          <w:r>
            <w:rPr>
              <w:color w:val="000000"/>
            </w:rPr>
            <w:t>groundwater conservation d</w:t>
          </w:r>
          <w:r w:rsidRPr="005D1D23">
            <w:rPr>
              <w:color w:val="000000"/>
            </w:rPr>
            <w:t xml:space="preserve">istricts </w:t>
          </w:r>
          <w:r>
            <w:rPr>
              <w:color w:val="000000"/>
            </w:rPr>
            <w:t xml:space="preserve">(district) </w:t>
          </w:r>
          <w:r w:rsidRPr="005D1D23">
            <w:rPr>
              <w:color w:val="000000"/>
            </w:rPr>
            <w:t xml:space="preserve">with different rules. Some districts issue one operating permit for production of groundwater and another permit to transfer the groundwater out of the district. Other districts issue a single operating permit for both production and transfer of groundwater. In either case, production may be authorized for a term of any duration. However, most districts authorize transfer of the groundwater out of the district for a limited term of 30 years, the </w:t>
          </w:r>
          <w:r>
            <w:rPr>
              <w:color w:val="000000"/>
            </w:rPr>
            <w:t>minimum prescribed by law in Section</w:t>
          </w:r>
          <w:r w:rsidRPr="005D1D23">
            <w:rPr>
              <w:color w:val="000000"/>
            </w:rPr>
            <w:t xml:space="preserve"> 36.122</w:t>
          </w:r>
          <w:r>
            <w:rPr>
              <w:color w:val="000000"/>
            </w:rPr>
            <w:t>,</w:t>
          </w:r>
          <w:r w:rsidRPr="005D1D23">
            <w:rPr>
              <w:color w:val="000000"/>
            </w:rPr>
            <w:t xml:space="preserve"> Water Code.</w:t>
          </w:r>
        </w:p>
        <w:p w:rsidR="0017561C" w:rsidRPr="005D1D23" w:rsidRDefault="0017561C" w:rsidP="0017561C">
          <w:pPr>
            <w:pStyle w:val="NormalWeb"/>
            <w:spacing w:before="0" w:beforeAutospacing="0" w:after="0" w:afterAutospacing="0"/>
            <w:jc w:val="both"/>
            <w:divId w:val="1316685387"/>
            <w:rPr>
              <w:color w:val="000000"/>
            </w:rPr>
          </w:pPr>
        </w:p>
        <w:p w:rsidR="0017561C" w:rsidRPr="005D1D23" w:rsidRDefault="0017561C" w:rsidP="0017561C">
          <w:pPr>
            <w:pStyle w:val="NormalWeb"/>
            <w:spacing w:before="0" w:beforeAutospacing="0" w:after="0" w:afterAutospacing="0"/>
            <w:jc w:val="both"/>
            <w:divId w:val="1316685387"/>
            <w:rPr>
              <w:color w:val="000000"/>
            </w:rPr>
          </w:pPr>
          <w:r w:rsidRPr="005D1D23">
            <w:rPr>
              <w:color w:val="000000"/>
            </w:rPr>
            <w:t>H</w:t>
          </w:r>
          <w:r>
            <w:rPr>
              <w:color w:val="000000"/>
            </w:rPr>
            <w:t>.</w:t>
          </w:r>
          <w:r w:rsidRPr="005D1D23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5D1D23">
            <w:rPr>
              <w:color w:val="000000"/>
            </w:rPr>
            <w:t xml:space="preserve"> 1066 addresses the circumstance when a transfer permit expires before the related operating permit for production of a well. The bill permits the district to extend the permit to align with the terms of the operating permit. </w:t>
          </w:r>
        </w:p>
        <w:p w:rsidR="0017561C" w:rsidRPr="00D70925" w:rsidRDefault="0017561C" w:rsidP="0017561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7561C" w:rsidRDefault="0017561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1066 </w:t>
      </w:r>
      <w:bookmarkStart w:id="1" w:name="AmendsCurrentLaw"/>
      <w:bookmarkEnd w:id="1"/>
      <w:r>
        <w:rPr>
          <w:rFonts w:cs="Times New Roman"/>
          <w:szCs w:val="24"/>
        </w:rPr>
        <w:t>amends current law relating to extensions of an expired permit for the transfer of groundwater from a groundwater conservation district.</w:t>
      </w:r>
    </w:p>
    <w:p w:rsidR="0017561C" w:rsidRPr="00941EA4" w:rsidRDefault="0017561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561C" w:rsidRPr="005C2A78" w:rsidRDefault="0017561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B6919C7AA42490AB6BCC2CB04D673B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7561C" w:rsidRPr="006529C4" w:rsidRDefault="0017561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7561C" w:rsidRPr="006529C4" w:rsidRDefault="0017561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7561C" w:rsidRPr="006529C4" w:rsidRDefault="0017561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7561C" w:rsidRPr="005C2A78" w:rsidRDefault="0017561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0A8EB0488C74234AFF266A3BFE78ABC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7561C" w:rsidRPr="005C2A78" w:rsidRDefault="0017561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561C" w:rsidRPr="00941EA4" w:rsidRDefault="0017561C" w:rsidP="00CF4D8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41EA4">
        <w:rPr>
          <w:rFonts w:eastAsia="Times New Roman" w:cs="Times New Roman"/>
          <w:szCs w:val="24"/>
        </w:rPr>
        <w:t xml:space="preserve">Section 36.122, Water Code, by adding Subsections (j-1), (j-2), (r), and </w:t>
      </w:r>
      <w:r>
        <w:rPr>
          <w:rFonts w:eastAsia="Times New Roman" w:cs="Times New Roman"/>
          <w:szCs w:val="24"/>
        </w:rPr>
        <w:t xml:space="preserve">(s) and amending Subsection (k), </w:t>
      </w:r>
      <w:r w:rsidRPr="00941EA4">
        <w:rPr>
          <w:rFonts w:eastAsia="Times New Roman" w:cs="Times New Roman"/>
          <w:szCs w:val="24"/>
        </w:rPr>
        <w:t>as follows:</w:t>
      </w:r>
    </w:p>
    <w:p w:rsidR="0017561C" w:rsidRPr="00941EA4" w:rsidRDefault="0017561C" w:rsidP="00CF4D8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561C" w:rsidRPr="00941EA4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41EA4">
        <w:rPr>
          <w:rFonts w:eastAsia="Times New Roman" w:cs="Times New Roman"/>
          <w:szCs w:val="24"/>
        </w:rPr>
        <w:t>(j-1)</w:t>
      </w:r>
      <w:r>
        <w:rPr>
          <w:rFonts w:eastAsia="Times New Roman" w:cs="Times New Roman"/>
          <w:szCs w:val="24"/>
        </w:rPr>
        <w:t xml:space="preserve"> Requires a</w:t>
      </w:r>
      <w:r w:rsidRPr="00941EA4">
        <w:rPr>
          <w:rFonts w:eastAsia="Times New Roman" w:cs="Times New Roman"/>
          <w:szCs w:val="24"/>
        </w:rPr>
        <w:t xml:space="preserve"> district that has the authority to regulate the spacing of water wells, the production from water wells, or both</w:t>
      </w:r>
      <w:r>
        <w:rPr>
          <w:rFonts w:eastAsia="Times New Roman" w:cs="Times New Roman"/>
          <w:szCs w:val="24"/>
        </w:rPr>
        <w:t xml:space="preserve"> (district) to</w:t>
      </w:r>
      <w:r w:rsidRPr="00941EA4">
        <w:rPr>
          <w:rFonts w:eastAsia="Times New Roman" w:cs="Times New Roman"/>
          <w:szCs w:val="24"/>
        </w:rPr>
        <w:t xml:space="preserve"> extend a term under Subsection (i)(2) </w:t>
      </w:r>
      <w:r>
        <w:rPr>
          <w:rFonts w:eastAsia="Times New Roman" w:cs="Times New Roman"/>
          <w:szCs w:val="24"/>
        </w:rPr>
        <w:t xml:space="preserve">(relating to requiring </w:t>
      </w:r>
      <w:r w:rsidRPr="00941EA4">
        <w:rPr>
          <w:rFonts w:eastAsia="Times New Roman" w:cs="Times New Roman"/>
          <w:szCs w:val="24"/>
        </w:rPr>
        <w:t xml:space="preserve">the period for which the water </w:t>
      </w:r>
      <w:r>
        <w:rPr>
          <w:rFonts w:eastAsia="Times New Roman" w:cs="Times New Roman"/>
          <w:szCs w:val="24"/>
        </w:rPr>
        <w:t>is authorized to</w:t>
      </w:r>
      <w:r w:rsidRPr="00941EA4">
        <w:rPr>
          <w:rFonts w:eastAsia="Times New Roman" w:cs="Times New Roman"/>
          <w:szCs w:val="24"/>
        </w:rPr>
        <w:t xml:space="preserve"> be transferred</w:t>
      </w:r>
      <w:r>
        <w:rPr>
          <w:rFonts w:eastAsia="Times New Roman" w:cs="Times New Roman"/>
          <w:szCs w:val="24"/>
        </w:rPr>
        <w:t xml:space="preserve"> to</w:t>
      </w:r>
      <w:r w:rsidRPr="00941EA4">
        <w:rPr>
          <w:rFonts w:eastAsia="Times New Roman" w:cs="Times New Roman"/>
          <w:szCs w:val="24"/>
        </w:rPr>
        <w:t xml:space="preserve"> be</w:t>
      </w:r>
      <w:r>
        <w:rPr>
          <w:rFonts w:eastAsia="Times New Roman" w:cs="Times New Roman"/>
          <w:szCs w:val="24"/>
        </w:rPr>
        <w:t xml:space="preserve"> </w:t>
      </w:r>
      <w:r w:rsidRPr="00941EA4">
        <w:rPr>
          <w:rFonts w:eastAsia="Times New Roman" w:cs="Times New Roman"/>
          <w:szCs w:val="24"/>
        </w:rPr>
        <w:t xml:space="preserve">at least three years if </w:t>
      </w:r>
      <w:r>
        <w:rPr>
          <w:rFonts w:eastAsia="Times New Roman" w:cs="Times New Roman"/>
          <w:szCs w:val="24"/>
        </w:rPr>
        <w:t xml:space="preserve">certain </w:t>
      </w:r>
      <w:r w:rsidRPr="00941EA4">
        <w:rPr>
          <w:rFonts w:eastAsia="Times New Roman" w:cs="Times New Roman"/>
          <w:szCs w:val="24"/>
        </w:rPr>
        <w:t>construction has not been initiated prior to the issuance of the permit</w:t>
      </w:r>
      <w:r>
        <w:rPr>
          <w:rFonts w:eastAsia="Times New Roman" w:cs="Times New Roman"/>
          <w:szCs w:val="24"/>
        </w:rPr>
        <w:t xml:space="preserve">) </w:t>
      </w:r>
      <w:r w:rsidRPr="00941EA4">
        <w:rPr>
          <w:rFonts w:eastAsia="Times New Roman" w:cs="Times New Roman"/>
          <w:szCs w:val="24"/>
        </w:rPr>
        <w:t>or (j)</w:t>
      </w:r>
      <w:r>
        <w:rPr>
          <w:rFonts w:eastAsia="Times New Roman" w:cs="Times New Roman"/>
          <w:szCs w:val="24"/>
        </w:rPr>
        <w:t xml:space="preserve"> (relating to requiring a certain</w:t>
      </w:r>
      <w:r w:rsidRPr="00941EA4">
        <w:rPr>
          <w:rFonts w:eastAsia="Times New Roman" w:cs="Times New Roman"/>
          <w:szCs w:val="24"/>
        </w:rPr>
        <w:t xml:space="preserve"> term </w:t>
      </w:r>
      <w:r>
        <w:rPr>
          <w:rFonts w:eastAsia="Times New Roman" w:cs="Times New Roman"/>
          <w:szCs w:val="24"/>
        </w:rPr>
        <w:t>to</w:t>
      </w:r>
      <w:r w:rsidRPr="00941EA4">
        <w:rPr>
          <w:rFonts w:eastAsia="Times New Roman" w:cs="Times New Roman"/>
          <w:szCs w:val="24"/>
        </w:rPr>
        <w:t xml:space="preserve"> automatically be extended to </w:t>
      </w:r>
      <w:r>
        <w:rPr>
          <w:rFonts w:eastAsia="Times New Roman" w:cs="Times New Roman"/>
          <w:szCs w:val="24"/>
        </w:rPr>
        <w:t>certain</w:t>
      </w:r>
      <w:r w:rsidRPr="00941EA4">
        <w:rPr>
          <w:rFonts w:eastAsia="Times New Roman" w:cs="Times New Roman"/>
          <w:szCs w:val="24"/>
        </w:rPr>
        <w:t xml:space="preserve"> terms if construction of a conveyance system is begun before the expiration of the initial term</w:t>
      </w:r>
      <w:r>
        <w:rPr>
          <w:rFonts w:eastAsia="Times New Roman" w:cs="Times New Roman"/>
          <w:szCs w:val="24"/>
        </w:rPr>
        <w:t>)</w:t>
      </w:r>
      <w:r w:rsidRPr="00941EA4">
        <w:rPr>
          <w:rFonts w:eastAsia="Times New Roman" w:cs="Times New Roman"/>
          <w:szCs w:val="24"/>
        </w:rPr>
        <w:t xml:space="preserve"> on or before its expiration in the manner prescribed by Section 36.1145</w:t>
      </w:r>
      <w:r>
        <w:rPr>
          <w:rFonts w:eastAsia="Times New Roman" w:cs="Times New Roman"/>
          <w:szCs w:val="24"/>
        </w:rPr>
        <w:t xml:space="preserve"> (</w:t>
      </w:r>
      <w:r w:rsidRPr="00941EA4">
        <w:rPr>
          <w:rFonts w:eastAsia="Times New Roman" w:cs="Times New Roman"/>
          <w:szCs w:val="24"/>
        </w:rPr>
        <w:t>Operating Permit Renewal</w:t>
      </w:r>
      <w:r>
        <w:rPr>
          <w:rFonts w:eastAsia="Times New Roman" w:cs="Times New Roman"/>
          <w:szCs w:val="24"/>
        </w:rPr>
        <w:t>)</w:t>
      </w:r>
      <w:r w:rsidRPr="00941EA4">
        <w:rPr>
          <w:rFonts w:eastAsia="Times New Roman" w:cs="Times New Roman"/>
          <w:szCs w:val="24"/>
        </w:rPr>
        <w:t>:</w:t>
      </w:r>
    </w:p>
    <w:p w:rsidR="0017561C" w:rsidRPr="00941EA4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561C" w:rsidRPr="00941EA4" w:rsidRDefault="0017561C" w:rsidP="00CF4D8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41EA4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941EA4">
        <w:rPr>
          <w:rFonts w:eastAsia="Times New Roman" w:cs="Times New Roman"/>
          <w:szCs w:val="24"/>
        </w:rPr>
        <w:t>to a term that is not shorter than the term of an operating permit for the production of water to be transferred that is in effect at the time of the extension; and</w:t>
      </w:r>
    </w:p>
    <w:p w:rsidR="0017561C" w:rsidRPr="00941EA4" w:rsidRDefault="0017561C" w:rsidP="00CF4D8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17561C" w:rsidRPr="00941EA4" w:rsidRDefault="0017561C" w:rsidP="00CF4D8F">
      <w:pPr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941EA4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941EA4">
        <w:rPr>
          <w:rFonts w:eastAsia="Times New Roman" w:cs="Times New Roman"/>
          <w:szCs w:val="24"/>
        </w:rPr>
        <w:t>for each additional term for which that operating permit for production is renewed under Section 36.1145 or remains in effect under Section 36.1146</w:t>
      </w:r>
      <w:r>
        <w:rPr>
          <w:rFonts w:eastAsia="Times New Roman" w:cs="Times New Roman"/>
          <w:szCs w:val="24"/>
        </w:rPr>
        <w:t xml:space="preserve"> (Change i</w:t>
      </w:r>
      <w:r w:rsidRPr="00941EA4">
        <w:rPr>
          <w:rFonts w:eastAsia="Times New Roman" w:cs="Times New Roman"/>
          <w:szCs w:val="24"/>
        </w:rPr>
        <w:t>n Operating Permits</w:t>
      </w:r>
      <w:r>
        <w:rPr>
          <w:rFonts w:eastAsia="Times New Roman" w:cs="Times New Roman"/>
          <w:szCs w:val="24"/>
        </w:rPr>
        <w:t>)</w:t>
      </w:r>
      <w:r w:rsidRPr="00941EA4">
        <w:rPr>
          <w:rFonts w:eastAsia="Times New Roman" w:cs="Times New Roman"/>
          <w:szCs w:val="24"/>
        </w:rPr>
        <w:t>.</w:t>
      </w:r>
    </w:p>
    <w:p w:rsidR="0017561C" w:rsidRPr="00941EA4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561C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41EA4">
        <w:rPr>
          <w:rFonts w:eastAsia="Times New Roman" w:cs="Times New Roman"/>
          <w:szCs w:val="24"/>
        </w:rPr>
        <w:t>(j-2)</w:t>
      </w:r>
      <w:r>
        <w:rPr>
          <w:rFonts w:eastAsia="Times New Roman" w:cs="Times New Roman"/>
          <w:szCs w:val="24"/>
        </w:rPr>
        <w:t xml:space="preserve"> Provides that a</w:t>
      </w:r>
      <w:r w:rsidRPr="00941EA4">
        <w:rPr>
          <w:rFonts w:eastAsia="Times New Roman" w:cs="Times New Roman"/>
          <w:szCs w:val="24"/>
        </w:rPr>
        <w:t xml:space="preserve"> permit extended under Subsection (j-1) continues to be subject to conditions contained in the permit as issued before the extension.</w:t>
      </w:r>
    </w:p>
    <w:p w:rsidR="0017561C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561C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941EA4">
        <w:rPr>
          <w:rFonts w:eastAsia="Times New Roman" w:cs="Times New Roman"/>
          <w:szCs w:val="24"/>
        </w:rPr>
        <w:t xml:space="preserve">(k)  </w:t>
      </w:r>
      <w:r>
        <w:rPr>
          <w:rFonts w:eastAsia="Times New Roman" w:cs="Times New Roman"/>
          <w:szCs w:val="24"/>
        </w:rPr>
        <w:t>Authorizes a district, n</w:t>
      </w:r>
      <w:r w:rsidRPr="00941EA4">
        <w:rPr>
          <w:rFonts w:eastAsia="Times New Roman" w:cs="Times New Roman"/>
          <w:szCs w:val="24"/>
        </w:rPr>
        <w:t>otwithstanding the period specified under Subsectio</w:t>
      </w:r>
      <w:r>
        <w:rPr>
          <w:rFonts w:eastAsia="Times New Roman" w:cs="Times New Roman"/>
          <w:szCs w:val="24"/>
        </w:rPr>
        <w:t xml:space="preserve">n (i), </w:t>
      </w:r>
      <w:r w:rsidRPr="00941EA4">
        <w:rPr>
          <w:rFonts w:eastAsia="Times New Roman" w:cs="Times New Roman"/>
          <w:szCs w:val="24"/>
        </w:rPr>
        <w:t>(j), or (j-1)</w:t>
      </w:r>
      <w:r>
        <w:rPr>
          <w:rFonts w:eastAsia="Times New Roman" w:cs="Times New Roman"/>
          <w:szCs w:val="24"/>
        </w:rPr>
        <w:t xml:space="preserve">, rather than the </w:t>
      </w:r>
      <w:r w:rsidRPr="00941EA4">
        <w:rPr>
          <w:rFonts w:eastAsia="Times New Roman" w:cs="Times New Roman"/>
          <w:szCs w:val="24"/>
        </w:rPr>
        <w:t xml:space="preserve">period specified </w:t>
      </w:r>
      <w:r>
        <w:rPr>
          <w:rFonts w:eastAsia="Times New Roman" w:cs="Times New Roman"/>
          <w:szCs w:val="24"/>
        </w:rPr>
        <w:t>in Subsections (i) and</w:t>
      </w:r>
      <w:r w:rsidRPr="00941EA4">
        <w:rPr>
          <w:rFonts w:eastAsia="Times New Roman" w:cs="Times New Roman"/>
          <w:szCs w:val="24"/>
        </w:rPr>
        <w:t xml:space="preserve"> (j), during which water </w:t>
      </w:r>
      <w:r>
        <w:rPr>
          <w:rFonts w:eastAsia="Times New Roman" w:cs="Times New Roman"/>
          <w:szCs w:val="24"/>
        </w:rPr>
        <w:t>is authorized to</w:t>
      </w:r>
      <w:r w:rsidRPr="00941EA4">
        <w:rPr>
          <w:rFonts w:eastAsia="Times New Roman" w:cs="Times New Roman"/>
          <w:szCs w:val="24"/>
        </w:rPr>
        <w:t xml:space="preserve"> be transferred under a permit</w:t>
      </w:r>
      <w:r>
        <w:rPr>
          <w:rFonts w:eastAsia="Times New Roman" w:cs="Times New Roman"/>
          <w:szCs w:val="24"/>
        </w:rPr>
        <w:t>, to</w:t>
      </w:r>
      <w:r w:rsidRPr="00941EA4">
        <w:rPr>
          <w:rFonts w:eastAsia="Times New Roman" w:cs="Times New Roman"/>
          <w:szCs w:val="24"/>
        </w:rPr>
        <w:t xml:space="preserve"> periodically review the amount of water that </w:t>
      </w:r>
      <w:r>
        <w:rPr>
          <w:rFonts w:eastAsia="Times New Roman" w:cs="Times New Roman"/>
          <w:szCs w:val="24"/>
        </w:rPr>
        <w:t>is authorized to</w:t>
      </w:r>
      <w:r w:rsidRPr="00941EA4">
        <w:rPr>
          <w:rFonts w:eastAsia="Times New Roman" w:cs="Times New Roman"/>
          <w:szCs w:val="24"/>
        </w:rPr>
        <w:t xml:space="preserve"> be transferred under the permit and </w:t>
      </w:r>
      <w:r>
        <w:rPr>
          <w:rFonts w:eastAsia="Times New Roman" w:cs="Times New Roman"/>
          <w:szCs w:val="24"/>
        </w:rPr>
        <w:t>to</w:t>
      </w:r>
      <w:r w:rsidRPr="00941EA4">
        <w:rPr>
          <w:rFonts w:eastAsia="Times New Roman" w:cs="Times New Roman"/>
          <w:szCs w:val="24"/>
        </w:rPr>
        <w:t xml:space="preserve"> limit the amount if additional factors considered in Subsection (f) warrant the limitation, subject to Subsection (c)</w:t>
      </w:r>
      <w:r>
        <w:rPr>
          <w:rFonts w:eastAsia="Times New Roman" w:cs="Times New Roman"/>
          <w:szCs w:val="24"/>
        </w:rPr>
        <w:t xml:space="preserve"> (relating to prohibiting </w:t>
      </w:r>
      <w:r w:rsidRPr="00941EA4">
        <w:rPr>
          <w:rFonts w:eastAsia="Times New Roman" w:cs="Times New Roman"/>
          <w:szCs w:val="24"/>
        </w:rPr>
        <w:t>the district</w:t>
      </w:r>
      <w:r>
        <w:rPr>
          <w:rFonts w:eastAsia="Times New Roman" w:cs="Times New Roman"/>
          <w:szCs w:val="24"/>
        </w:rPr>
        <w:t>, except under certain provisions,</w:t>
      </w:r>
      <w:r w:rsidRPr="00941EA4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from imposing</w:t>
      </w:r>
      <w:r w:rsidRPr="00941EA4">
        <w:rPr>
          <w:rFonts w:eastAsia="Times New Roman" w:cs="Times New Roman"/>
          <w:szCs w:val="24"/>
        </w:rPr>
        <w:t xml:space="preserve"> more restrictive permit conditions on transporters than the district imposes on existing in</w:t>
      </w:r>
      <w:r>
        <w:rPr>
          <w:rFonts w:eastAsia="Times New Roman" w:cs="Times New Roman"/>
          <w:szCs w:val="24"/>
        </w:rPr>
        <w:noBreakHyphen/>
      </w:r>
      <w:r w:rsidRPr="00941EA4">
        <w:rPr>
          <w:rFonts w:eastAsia="Times New Roman" w:cs="Times New Roman"/>
          <w:szCs w:val="24"/>
        </w:rPr>
        <w:t>district users</w:t>
      </w:r>
      <w:r>
        <w:rPr>
          <w:rFonts w:eastAsia="Times New Roman" w:cs="Times New Roman"/>
          <w:szCs w:val="24"/>
        </w:rPr>
        <w:t>)</w:t>
      </w:r>
      <w:r w:rsidRPr="00941EA4">
        <w:rPr>
          <w:rFonts w:eastAsia="Times New Roman" w:cs="Times New Roman"/>
          <w:szCs w:val="24"/>
        </w:rPr>
        <w:t>.</w:t>
      </w:r>
    </w:p>
    <w:p w:rsidR="0017561C" w:rsidRPr="00941EA4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561C" w:rsidRPr="00941EA4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(r) Authorizes t</w:t>
      </w:r>
      <w:r w:rsidRPr="00941EA4">
        <w:rPr>
          <w:rFonts w:eastAsia="Times New Roman" w:cs="Times New Roman"/>
          <w:szCs w:val="24"/>
        </w:rPr>
        <w:t xml:space="preserve">he district </w:t>
      </w:r>
      <w:r>
        <w:rPr>
          <w:rFonts w:eastAsia="Times New Roman" w:cs="Times New Roman"/>
          <w:szCs w:val="24"/>
        </w:rPr>
        <w:t>to</w:t>
      </w:r>
      <w:r w:rsidRPr="00941EA4">
        <w:rPr>
          <w:rFonts w:eastAsia="Times New Roman" w:cs="Times New Roman"/>
          <w:szCs w:val="24"/>
        </w:rPr>
        <w:t xml:space="preserve"> grant or deny an application to extend a term under Subsection (i)(2) or (j) submitted under this section only using rules that were in effect at the time the application was submitted.</w:t>
      </w:r>
    </w:p>
    <w:p w:rsidR="0017561C" w:rsidRPr="00941EA4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561C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(s) Provides that a</w:t>
      </w:r>
      <w:r w:rsidRPr="00941EA4">
        <w:rPr>
          <w:rFonts w:eastAsia="Times New Roman" w:cs="Times New Roman"/>
          <w:szCs w:val="24"/>
        </w:rPr>
        <w:t>n application to extend a term under Subsection (i)(2) or (j) is governed solely by district rules consistent with Subsection (j-1).</w:t>
      </w:r>
    </w:p>
    <w:p w:rsidR="0017561C" w:rsidRPr="005C2A78" w:rsidRDefault="0017561C" w:rsidP="00CF4D8F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17561C" w:rsidRPr="005C2A78" w:rsidRDefault="0017561C" w:rsidP="00CF4D8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</w:t>
      </w:r>
      <w:r w:rsidRPr="00941EA4">
        <w:rPr>
          <w:rFonts w:eastAsia="Times New Roman" w:cs="Times New Roman"/>
          <w:szCs w:val="24"/>
        </w:rPr>
        <w:t>he changes in law made by this Act apply only to the term of a permit issued under Sections 36.122(i) and (j), Water Code, that expires after September 1, 2019.</w:t>
      </w:r>
    </w:p>
    <w:p w:rsidR="0017561C" w:rsidRPr="005C2A78" w:rsidRDefault="0017561C" w:rsidP="00CF4D8F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7561C" w:rsidRPr="00C8671F" w:rsidRDefault="0017561C" w:rsidP="00CF4D8F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Effective date: </w:t>
      </w:r>
      <w:r w:rsidRPr="00941EA4">
        <w:rPr>
          <w:rFonts w:eastAsia="Times New Roman" w:cs="Times New Roman"/>
          <w:szCs w:val="24"/>
        </w:rPr>
        <w:t>September 1, 2019.</w:t>
      </w:r>
    </w:p>
    <w:sectPr w:rsidR="0017561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36" w:rsidRDefault="00841E36" w:rsidP="000F1DF9">
      <w:pPr>
        <w:spacing w:after="0" w:line="240" w:lineRule="auto"/>
      </w:pPr>
      <w:r>
        <w:separator/>
      </w:r>
    </w:p>
  </w:endnote>
  <w:endnote w:type="continuationSeparator" w:id="0">
    <w:p w:rsidR="00841E36" w:rsidRDefault="00841E3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841E3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7561C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7561C">
                <w:rPr>
                  <w:sz w:val="20"/>
                  <w:szCs w:val="20"/>
                </w:rPr>
                <w:t>H.B. 1066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7561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841E3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7561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7561C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36" w:rsidRDefault="00841E36" w:rsidP="000F1DF9">
      <w:pPr>
        <w:spacing w:after="0" w:line="240" w:lineRule="auto"/>
      </w:pPr>
      <w:r>
        <w:separator/>
      </w:r>
    </w:p>
  </w:footnote>
  <w:footnote w:type="continuationSeparator" w:id="0">
    <w:p w:rsidR="00841E36" w:rsidRDefault="00841E36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7561C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41E36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E21A3"/>
  <w15:docId w15:val="{DFB1A3B6-22FB-41E4-A5D7-F77A9E02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561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6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B9655B" w:rsidP="00B9655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B3D395D5EDF4383BCBF93D4C721D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E71C6-D34E-4265-A4B0-0899F7FBDF4E}"/>
      </w:docPartPr>
      <w:docPartBody>
        <w:p w:rsidR="00000000" w:rsidRDefault="00AE35BF"/>
      </w:docPartBody>
    </w:docPart>
    <w:docPart>
      <w:docPartPr>
        <w:name w:val="AEB1DD753D94486DA195A8F4FA704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D824-09B6-47CA-A908-8920E76D54E4}"/>
      </w:docPartPr>
      <w:docPartBody>
        <w:p w:rsidR="00000000" w:rsidRDefault="00AE35BF"/>
      </w:docPartBody>
    </w:docPart>
    <w:docPart>
      <w:docPartPr>
        <w:name w:val="2CC9792950A542ECBDFEDAD7E28DF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5151-1BA3-4B65-B725-C053B993C519}"/>
      </w:docPartPr>
      <w:docPartBody>
        <w:p w:rsidR="00000000" w:rsidRDefault="00AE35BF"/>
      </w:docPartBody>
    </w:docPart>
    <w:docPart>
      <w:docPartPr>
        <w:name w:val="BC3A95A5F0F64908AAF1C6067E6A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7C3E-051B-4847-9714-4D84510CD189}"/>
      </w:docPartPr>
      <w:docPartBody>
        <w:p w:rsidR="00000000" w:rsidRDefault="00AE35BF"/>
      </w:docPartBody>
    </w:docPart>
    <w:docPart>
      <w:docPartPr>
        <w:name w:val="377555F992A0494F8340FF656C3A8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5F13-EFDB-4541-86DE-9E1786517011}"/>
      </w:docPartPr>
      <w:docPartBody>
        <w:p w:rsidR="00000000" w:rsidRDefault="00AE35BF"/>
      </w:docPartBody>
    </w:docPart>
    <w:docPart>
      <w:docPartPr>
        <w:name w:val="68D4A5B655474109B7980A772935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D5C3-FE93-45F5-854C-3646D62E0535}"/>
      </w:docPartPr>
      <w:docPartBody>
        <w:p w:rsidR="00000000" w:rsidRDefault="00AE35BF"/>
      </w:docPartBody>
    </w:docPart>
    <w:docPart>
      <w:docPartPr>
        <w:name w:val="1B6BEF974E254127B1A720AB4C1D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08A3-7EC8-4D36-B9E5-44008274B257}"/>
      </w:docPartPr>
      <w:docPartBody>
        <w:p w:rsidR="00000000" w:rsidRDefault="00AE35BF"/>
      </w:docPartBody>
    </w:docPart>
    <w:docPart>
      <w:docPartPr>
        <w:name w:val="B19FE46A9ADE4CF483448DFC825FD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C3414-7338-4CF3-B09E-4EEB620B4DFE}"/>
      </w:docPartPr>
      <w:docPartBody>
        <w:p w:rsidR="00000000" w:rsidRDefault="00AE35BF"/>
      </w:docPartBody>
    </w:docPart>
    <w:docPart>
      <w:docPartPr>
        <w:name w:val="972ACF56AE6D4914A9458833B1504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0040-B97A-4C41-979C-780064BF54FB}"/>
      </w:docPartPr>
      <w:docPartBody>
        <w:p w:rsidR="00000000" w:rsidRDefault="00B9655B" w:rsidP="00B9655B">
          <w:pPr>
            <w:pStyle w:val="972ACF56AE6D4914A9458833B150451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835D2269931943A0B31B3A903635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5B7C-3629-4036-872B-B928F1535636}"/>
      </w:docPartPr>
      <w:docPartBody>
        <w:p w:rsidR="00000000" w:rsidRDefault="00AE35BF"/>
      </w:docPartBody>
    </w:docPart>
    <w:docPart>
      <w:docPartPr>
        <w:name w:val="9AC696A78A224482AE3C43223F8D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1B0B3-7C8F-4087-A0A1-1C3D27F2BACD}"/>
      </w:docPartPr>
      <w:docPartBody>
        <w:p w:rsidR="00000000" w:rsidRDefault="00AE35BF"/>
      </w:docPartBody>
    </w:docPart>
    <w:docPart>
      <w:docPartPr>
        <w:name w:val="7ACD3FECF4FF4CEE878D7F1EEF12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EA8B-46A5-404F-A6E0-DEF4291F7EF0}"/>
      </w:docPartPr>
      <w:docPartBody>
        <w:p w:rsidR="00000000" w:rsidRDefault="00B9655B" w:rsidP="00B9655B">
          <w:pPr>
            <w:pStyle w:val="7ACD3FECF4FF4CEE878D7F1EEF12E200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B6919C7AA42490AB6BCC2CB04D6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129A-265A-49B5-81DB-E09249B10DAC}"/>
      </w:docPartPr>
      <w:docPartBody>
        <w:p w:rsidR="00000000" w:rsidRDefault="00AE35BF"/>
      </w:docPartBody>
    </w:docPart>
    <w:docPart>
      <w:docPartPr>
        <w:name w:val="10A8EB0488C74234AFF266A3BFE78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7B401-1D31-4225-BE41-B371126E24AE}"/>
      </w:docPartPr>
      <w:docPartBody>
        <w:p w:rsidR="00000000" w:rsidRDefault="00AE35B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E35BF"/>
    <w:rsid w:val="00B252A4"/>
    <w:rsid w:val="00B5530B"/>
    <w:rsid w:val="00B9655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55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B9655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B9655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B9655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72ACF56AE6D4914A9458833B1504511">
    <w:name w:val="972ACF56AE6D4914A9458833B1504511"/>
    <w:rsid w:val="00B9655B"/>
    <w:pPr>
      <w:spacing w:after="160" w:line="259" w:lineRule="auto"/>
    </w:pPr>
  </w:style>
  <w:style w:type="paragraph" w:customStyle="1" w:styleId="7ACD3FECF4FF4CEE878D7F1EEF12E200">
    <w:name w:val="7ACD3FECF4FF4CEE878D7F1EEF12E200"/>
    <w:rsid w:val="00B965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4EEC8EF-5C9A-4A9B-AD4F-63CE4149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592</Words>
  <Characters>3377</Characters>
  <Application>Microsoft Office Word</Application>
  <DocSecurity>0</DocSecurity>
  <Lines>28</Lines>
  <Paragraphs>7</Paragraphs>
  <ScaleCrop>false</ScaleCrop>
  <Company>Texas Legislative Council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2019-04-26T00:06:00Z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