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C4A1A" w:rsidTr="00345119">
        <w:tc>
          <w:tcPr>
            <w:tcW w:w="9576" w:type="dxa"/>
            <w:noWrap/>
          </w:tcPr>
          <w:p w:rsidR="008423E4" w:rsidRPr="0022177D" w:rsidRDefault="00BB700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B700E" w:rsidP="008423E4">
      <w:pPr>
        <w:jc w:val="center"/>
      </w:pPr>
    </w:p>
    <w:p w:rsidR="008423E4" w:rsidRPr="00B31F0E" w:rsidRDefault="00BB700E" w:rsidP="008423E4"/>
    <w:p w:rsidR="008423E4" w:rsidRPr="00742794" w:rsidRDefault="00BB700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4A1A" w:rsidTr="00345119">
        <w:tc>
          <w:tcPr>
            <w:tcW w:w="9576" w:type="dxa"/>
          </w:tcPr>
          <w:p w:rsidR="008423E4" w:rsidRPr="00861995" w:rsidRDefault="00BB700E" w:rsidP="00345119">
            <w:pPr>
              <w:jc w:val="right"/>
            </w:pPr>
            <w:r>
              <w:t>H.B. 1124</w:t>
            </w:r>
          </w:p>
        </w:tc>
      </w:tr>
      <w:tr w:rsidR="007C4A1A" w:rsidTr="00345119">
        <w:tc>
          <w:tcPr>
            <w:tcW w:w="9576" w:type="dxa"/>
          </w:tcPr>
          <w:p w:rsidR="008423E4" w:rsidRPr="00861995" w:rsidRDefault="00BB700E" w:rsidP="00EF6316">
            <w:pPr>
              <w:jc w:val="right"/>
            </w:pPr>
            <w:r>
              <w:t xml:space="preserve">By: </w:t>
            </w:r>
            <w:r>
              <w:t>Muñoz, Jr.</w:t>
            </w:r>
          </w:p>
        </w:tc>
      </w:tr>
      <w:tr w:rsidR="007C4A1A" w:rsidTr="00345119">
        <w:tc>
          <w:tcPr>
            <w:tcW w:w="9576" w:type="dxa"/>
          </w:tcPr>
          <w:p w:rsidR="008423E4" w:rsidRPr="00861995" w:rsidRDefault="00BB700E" w:rsidP="00345119">
            <w:pPr>
              <w:jc w:val="right"/>
            </w:pPr>
            <w:r>
              <w:t>Judiciary &amp; Civil Jurisprudence</w:t>
            </w:r>
          </w:p>
        </w:tc>
      </w:tr>
      <w:tr w:rsidR="007C4A1A" w:rsidTr="00345119">
        <w:tc>
          <w:tcPr>
            <w:tcW w:w="9576" w:type="dxa"/>
          </w:tcPr>
          <w:p w:rsidR="008423E4" w:rsidRDefault="00BB700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B700E" w:rsidP="008423E4">
      <w:pPr>
        <w:tabs>
          <w:tab w:val="right" w:pos="9360"/>
        </w:tabs>
      </w:pPr>
    </w:p>
    <w:p w:rsidR="008423E4" w:rsidRDefault="00BB700E" w:rsidP="008423E4"/>
    <w:p w:rsidR="008423E4" w:rsidRDefault="00BB700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C4A1A" w:rsidTr="00345119">
        <w:tc>
          <w:tcPr>
            <w:tcW w:w="9576" w:type="dxa"/>
          </w:tcPr>
          <w:p w:rsidR="008423E4" w:rsidRPr="00A8133F" w:rsidRDefault="00BB700E" w:rsidP="007454E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B700E" w:rsidP="007454ED"/>
          <w:p w:rsidR="00E24218" w:rsidRDefault="00BB700E" w:rsidP="007454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are concerns</w:t>
            </w:r>
            <w:r w:rsidRPr="00E24218">
              <w:t xml:space="preserve"> that patients are having their out-of-network policy benefits undermined </w:t>
            </w:r>
            <w:r>
              <w:t>by</w:t>
            </w:r>
            <w:r w:rsidRPr="00E24218">
              <w:t xml:space="preserve"> </w:t>
            </w:r>
            <w:r w:rsidRPr="00E24218">
              <w:t>insurance carrier</w:t>
            </w:r>
            <w:r>
              <w:t xml:space="preserve"> practices of</w:t>
            </w:r>
            <w:r w:rsidRPr="00E24218">
              <w:t xml:space="preserve"> intimidat</w:t>
            </w:r>
            <w:r>
              <w:t>ing or</w:t>
            </w:r>
            <w:r w:rsidRPr="00E24218">
              <w:t xml:space="preserve"> coerc</w:t>
            </w:r>
            <w:r>
              <w:t xml:space="preserve">ing a provider </w:t>
            </w:r>
            <w:r w:rsidRPr="00E24218">
              <w:t>or terminat</w:t>
            </w:r>
            <w:r>
              <w:t>ing</w:t>
            </w:r>
            <w:r w:rsidRPr="00E24218">
              <w:t xml:space="preserve"> a </w:t>
            </w:r>
            <w:r>
              <w:t>provider</w:t>
            </w:r>
            <w:r>
              <w:t>'</w:t>
            </w:r>
            <w:r>
              <w:t xml:space="preserve">s </w:t>
            </w:r>
            <w:r w:rsidRPr="00E24218">
              <w:t>contract for making an out-of-network referral</w:t>
            </w:r>
            <w:r>
              <w:t xml:space="preserve">. It is reported </w:t>
            </w:r>
            <w:r>
              <w:t>that</w:t>
            </w:r>
            <w:r>
              <w:t xml:space="preserve">, although this conduct is prohibited, the monetary consequences of engaging in the prohibited activity do not </w:t>
            </w:r>
            <w:r>
              <w:t xml:space="preserve">deter </w:t>
            </w:r>
            <w:r w:rsidRPr="00E24218">
              <w:t xml:space="preserve">insurance carriers </w:t>
            </w:r>
            <w:r>
              <w:t xml:space="preserve">from such conduct. </w:t>
            </w:r>
            <w:r w:rsidRPr="00E24218">
              <w:t>H</w:t>
            </w:r>
            <w:r>
              <w:t>.</w:t>
            </w:r>
            <w:r w:rsidRPr="00E24218">
              <w:t>B</w:t>
            </w:r>
            <w:r>
              <w:t>.</w:t>
            </w:r>
            <w:r w:rsidRPr="00E24218">
              <w:t xml:space="preserve"> 1124 seeks to discourage</w:t>
            </w:r>
            <w:r>
              <w:t>,</w:t>
            </w:r>
            <w:r w:rsidRPr="00E24218">
              <w:t xml:space="preserve"> </w:t>
            </w:r>
            <w:r>
              <w:t xml:space="preserve">and increase the possible monetary consequences of, such conduct </w:t>
            </w:r>
            <w:r w:rsidRPr="00E24218">
              <w:t xml:space="preserve">by </w:t>
            </w:r>
            <w:r>
              <w:t>making a health</w:t>
            </w:r>
            <w:r w:rsidRPr="00E24218">
              <w:t xml:space="preserve"> </w:t>
            </w:r>
            <w:r w:rsidRPr="00E24218">
              <w:t>insurance carrier liable for damages</w:t>
            </w:r>
            <w:r>
              <w:t xml:space="preserve"> for harm</w:t>
            </w:r>
            <w:r w:rsidRPr="00E24218">
              <w:t xml:space="preserve"> to an insured </w:t>
            </w:r>
            <w:r>
              <w:t>caused by a violation of certain laws</w:t>
            </w:r>
            <w:r w:rsidRPr="00E24218">
              <w:t>.</w:t>
            </w:r>
            <w:r>
              <w:t xml:space="preserve"> </w:t>
            </w:r>
          </w:p>
          <w:p w:rsidR="008423E4" w:rsidRPr="00E26B13" w:rsidRDefault="00BB700E" w:rsidP="007454ED">
            <w:pPr>
              <w:rPr>
                <w:b/>
              </w:rPr>
            </w:pPr>
          </w:p>
        </w:tc>
      </w:tr>
      <w:tr w:rsidR="007C4A1A" w:rsidTr="00345119">
        <w:tc>
          <w:tcPr>
            <w:tcW w:w="9576" w:type="dxa"/>
          </w:tcPr>
          <w:p w:rsidR="0017725B" w:rsidRDefault="00BB700E" w:rsidP="007454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B700E" w:rsidP="007454ED">
            <w:pPr>
              <w:rPr>
                <w:b/>
                <w:u w:val="single"/>
              </w:rPr>
            </w:pPr>
          </w:p>
          <w:p w:rsidR="00897EB9" w:rsidRPr="00897EB9" w:rsidRDefault="00BB700E" w:rsidP="007454E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</w:t>
            </w:r>
            <w:r>
              <w:t>upervision, parole, or mandatory supervision.</w:t>
            </w:r>
          </w:p>
          <w:p w:rsidR="0017725B" w:rsidRPr="0017725B" w:rsidRDefault="00BB700E" w:rsidP="007454ED">
            <w:pPr>
              <w:rPr>
                <w:b/>
                <w:u w:val="single"/>
              </w:rPr>
            </w:pPr>
          </w:p>
        </w:tc>
      </w:tr>
      <w:tr w:rsidR="007C4A1A" w:rsidTr="00345119">
        <w:tc>
          <w:tcPr>
            <w:tcW w:w="9576" w:type="dxa"/>
          </w:tcPr>
          <w:p w:rsidR="008423E4" w:rsidRPr="00A8133F" w:rsidRDefault="00BB700E" w:rsidP="007454E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B700E" w:rsidP="007454ED"/>
          <w:p w:rsidR="00897EB9" w:rsidRDefault="00BB700E" w:rsidP="007454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B700E" w:rsidP="007454ED">
            <w:pPr>
              <w:rPr>
                <w:b/>
              </w:rPr>
            </w:pPr>
          </w:p>
        </w:tc>
      </w:tr>
      <w:tr w:rsidR="007C4A1A" w:rsidTr="00345119">
        <w:tc>
          <w:tcPr>
            <w:tcW w:w="9576" w:type="dxa"/>
          </w:tcPr>
          <w:p w:rsidR="008423E4" w:rsidRPr="00A8133F" w:rsidRDefault="00BB700E" w:rsidP="007454E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B700E" w:rsidP="007454ED"/>
          <w:p w:rsidR="00237CCC" w:rsidRDefault="00BB700E" w:rsidP="007454ED">
            <w:pPr>
              <w:pStyle w:val="Header"/>
              <w:jc w:val="both"/>
            </w:pPr>
            <w:r>
              <w:t xml:space="preserve">H.B. 1124 amends the Civil Practice and Remedies Code to make a health insurance carrier liable for damages </w:t>
            </w:r>
            <w:r>
              <w:t xml:space="preserve">for harm to an insured caused by a violation of </w:t>
            </w:r>
            <w:r>
              <w:t xml:space="preserve">any of the following </w:t>
            </w:r>
            <w:r>
              <w:t>statutory</w:t>
            </w:r>
            <w:r>
              <w:t xml:space="preserve"> </w:t>
            </w:r>
            <w:r>
              <w:t>provisions</w:t>
            </w:r>
            <w:r>
              <w:t xml:space="preserve"> </w:t>
            </w:r>
            <w:r>
              <w:t xml:space="preserve">applicable to </w:t>
            </w:r>
            <w:r w:rsidRPr="00D277C1">
              <w:t>preferred provider benefit plan</w:t>
            </w:r>
            <w:r>
              <w:t>s</w:t>
            </w:r>
            <w:r>
              <w:t xml:space="preserve">: </w:t>
            </w:r>
          </w:p>
          <w:p w:rsidR="00237CCC" w:rsidRDefault="00BB700E" w:rsidP="007454ED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provisi</w:t>
            </w:r>
            <w:r>
              <w:t>on</w:t>
            </w:r>
            <w:r>
              <w:t xml:space="preserve"> </w:t>
            </w:r>
            <w:r>
              <w:t>prohibiting an insurer from terminating, or threatening to terminate, an insured's participation in a plan solely because the insured uses an out-of-network provider</w:t>
            </w:r>
            <w:r>
              <w:t xml:space="preserve">; </w:t>
            </w:r>
          </w:p>
          <w:p w:rsidR="00237CCC" w:rsidRDefault="00BB700E" w:rsidP="007454ED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provisions relating to protected communic</w:t>
            </w:r>
            <w:r>
              <w:t>ations by preferred providers;</w:t>
            </w:r>
            <w:r>
              <w:t xml:space="preserve"> </w:t>
            </w:r>
          </w:p>
          <w:p w:rsidR="00237CCC" w:rsidRDefault="00BB700E" w:rsidP="007454ED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 </w:t>
            </w:r>
            <w:r>
              <w:t xml:space="preserve">provision </w:t>
            </w:r>
            <w:r>
              <w:t>requiring a</w:t>
            </w:r>
            <w:r>
              <w:t>n insurer to provide a</w:t>
            </w:r>
            <w:r>
              <w:t xml:space="preserve"> practitioner whose participation in </w:t>
            </w:r>
            <w:r>
              <w:t>a</w:t>
            </w:r>
            <w:r>
              <w:t xml:space="preserve"> plan is being terminated </w:t>
            </w:r>
            <w:r>
              <w:t xml:space="preserve">with </w:t>
            </w:r>
            <w:r>
              <w:t>an expedited review and certain information relating to the termination</w:t>
            </w:r>
            <w:r>
              <w:t xml:space="preserve"> on request</w:t>
            </w:r>
            <w:r>
              <w:t xml:space="preserve">; </w:t>
            </w:r>
            <w:r>
              <w:t>or</w:t>
            </w:r>
            <w:r>
              <w:t xml:space="preserve"> </w:t>
            </w:r>
          </w:p>
          <w:p w:rsidR="00943355" w:rsidRDefault="00BB700E" w:rsidP="007454ED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 </w:t>
            </w:r>
            <w:r>
              <w:t xml:space="preserve">provision prohibiting an insurer from requiring a physician or health care provider </w:t>
            </w:r>
            <w:r w:rsidRPr="00C25FCE">
              <w:t>to provide a notification form stating that the physician or provider is an out</w:t>
            </w:r>
            <w:r>
              <w:noBreakHyphen/>
            </w:r>
            <w:r w:rsidRPr="00C25FCE">
              <w:t>of</w:t>
            </w:r>
            <w:r>
              <w:noBreakHyphen/>
            </w:r>
            <w:r w:rsidRPr="00C25FCE">
              <w:t>network provider to a patient, or a person designated by the patient, if the form contain</w:t>
            </w:r>
            <w:r w:rsidRPr="00C25FCE">
              <w:t>s additional information that is intended, or is otherwise required to be presented in a manner that is intended, to intimidate the patient</w:t>
            </w:r>
            <w:r>
              <w:t xml:space="preserve">. </w:t>
            </w:r>
          </w:p>
          <w:p w:rsidR="00943355" w:rsidRDefault="00BB700E" w:rsidP="007454ED">
            <w:pPr>
              <w:pStyle w:val="Header"/>
              <w:jc w:val="both"/>
            </w:pPr>
          </w:p>
          <w:p w:rsidR="008423E4" w:rsidRDefault="00BB700E" w:rsidP="007454ED">
            <w:pPr>
              <w:pStyle w:val="Header"/>
              <w:jc w:val="both"/>
            </w:pPr>
            <w:r>
              <w:t>H.B. 1124</w:t>
            </w:r>
            <w:r>
              <w:t xml:space="preserve"> </w:t>
            </w:r>
            <w:r>
              <w:t>makes statutory</w:t>
            </w:r>
            <w:r>
              <w:t xml:space="preserve"> provisions relating to limitations on </w:t>
            </w:r>
            <w:r>
              <w:t xml:space="preserve">a </w:t>
            </w:r>
            <w:r>
              <w:t>cause of action</w:t>
            </w:r>
            <w:r>
              <w:t xml:space="preserve"> against a health insurance carr</w:t>
            </w:r>
            <w:r>
              <w:t>ier</w:t>
            </w:r>
            <w:r>
              <w:t xml:space="preserve"> </w:t>
            </w:r>
            <w:r>
              <w:t>inapplicable</w:t>
            </w:r>
            <w:r>
              <w:t xml:space="preserve"> to a cause of action under </w:t>
            </w:r>
            <w:r>
              <w:t xml:space="preserve">the </w:t>
            </w:r>
            <w:r>
              <w:t>bill's provisions. T</w:t>
            </w:r>
            <w:r>
              <w:t xml:space="preserve">he </w:t>
            </w:r>
            <w:r>
              <w:t xml:space="preserve">standards for </w:t>
            </w:r>
            <w:r>
              <w:t>liability under the bill's provisions</w:t>
            </w:r>
            <w:r>
              <w:t xml:space="preserve"> </w:t>
            </w:r>
            <w:r>
              <w:t>create no obligation on the part of a health insurance carrier to provide to an insured or enrollee treatment which is not covered by</w:t>
            </w:r>
            <w:r>
              <w:t xml:space="preserve"> the health </w:t>
            </w:r>
            <w:r>
              <w:t xml:space="preserve">care </w:t>
            </w:r>
            <w:r>
              <w:t>plan of the entity.</w:t>
            </w:r>
            <w:r>
              <w:t xml:space="preserve"> </w:t>
            </w:r>
            <w:r>
              <w:t xml:space="preserve">  </w:t>
            </w:r>
          </w:p>
          <w:p w:rsidR="00FE0435" w:rsidRPr="00835628" w:rsidRDefault="00BB700E" w:rsidP="007454E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7C4A1A" w:rsidTr="00345119">
        <w:tc>
          <w:tcPr>
            <w:tcW w:w="9576" w:type="dxa"/>
          </w:tcPr>
          <w:p w:rsidR="008423E4" w:rsidRPr="00A8133F" w:rsidRDefault="00BB700E" w:rsidP="007454E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B700E" w:rsidP="007454ED"/>
          <w:p w:rsidR="008423E4" w:rsidRPr="003624F2" w:rsidRDefault="00BB700E" w:rsidP="007454E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B700E" w:rsidP="007454ED">
            <w:pPr>
              <w:rPr>
                <w:b/>
              </w:rPr>
            </w:pPr>
          </w:p>
        </w:tc>
      </w:tr>
    </w:tbl>
    <w:p w:rsidR="008423E4" w:rsidRPr="00BE0E75" w:rsidRDefault="00BB700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B700E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700E">
      <w:r>
        <w:separator/>
      </w:r>
    </w:p>
  </w:endnote>
  <w:endnote w:type="continuationSeparator" w:id="0">
    <w:p w:rsidR="00000000" w:rsidRDefault="00B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7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4A1A" w:rsidTr="009C1E9A">
      <w:trPr>
        <w:cantSplit/>
      </w:trPr>
      <w:tc>
        <w:tcPr>
          <w:tcW w:w="0" w:type="pct"/>
        </w:tcPr>
        <w:p w:rsidR="00137D90" w:rsidRDefault="00BB700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B700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B700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B700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B70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A1A" w:rsidTr="009C1E9A">
      <w:trPr>
        <w:cantSplit/>
      </w:trPr>
      <w:tc>
        <w:tcPr>
          <w:tcW w:w="0" w:type="pct"/>
        </w:tcPr>
        <w:p w:rsidR="00EC379B" w:rsidRDefault="00BB700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B700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26515</w:t>
          </w:r>
        </w:p>
      </w:tc>
      <w:tc>
        <w:tcPr>
          <w:tcW w:w="2453" w:type="pct"/>
        </w:tcPr>
        <w:p w:rsidR="00EC379B" w:rsidRDefault="00BB70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19.103.392</w:t>
          </w:r>
          <w:r>
            <w:fldChar w:fldCharType="end"/>
          </w:r>
        </w:p>
      </w:tc>
    </w:tr>
    <w:tr w:rsidR="007C4A1A" w:rsidTr="009C1E9A">
      <w:trPr>
        <w:cantSplit/>
      </w:trPr>
      <w:tc>
        <w:tcPr>
          <w:tcW w:w="0" w:type="pct"/>
        </w:tcPr>
        <w:p w:rsidR="00EC379B" w:rsidRDefault="00BB700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B700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B700E" w:rsidP="006D504F">
          <w:pPr>
            <w:pStyle w:val="Footer"/>
            <w:rPr>
              <w:rStyle w:val="PageNumber"/>
            </w:rPr>
          </w:pPr>
        </w:p>
        <w:p w:rsidR="00EC379B" w:rsidRDefault="00BB700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4A1A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B700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BB700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B700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7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700E">
      <w:r>
        <w:separator/>
      </w:r>
    </w:p>
  </w:footnote>
  <w:footnote w:type="continuationSeparator" w:id="0">
    <w:p w:rsidR="00000000" w:rsidRDefault="00BB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7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7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B7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F5E"/>
    <w:multiLevelType w:val="hybridMultilevel"/>
    <w:tmpl w:val="A72CCDCE"/>
    <w:lvl w:ilvl="0" w:tplc="57ACF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C1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F25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82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49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8E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AE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6D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4C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1A"/>
    <w:rsid w:val="007C4A1A"/>
    <w:rsid w:val="00B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803723-CCBE-4F87-8FA8-46A3CB0C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0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0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043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2357</Characters>
  <Application>Microsoft Office Word</Application>
  <DocSecurity>4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HB01124 (Committee Report (Unamended))</vt:lpstr>
    </vt:vector>
  </TitlesOfParts>
  <Company>State of Texas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26515</dc:subject>
  <dc:creator>State of Texas</dc:creator>
  <dc:description>HB 1124 by Muñoz, Jr.-(H)Judiciary &amp; Civil Jurisprudence</dc:description>
  <cp:lastModifiedBy>Stacey Nicchio</cp:lastModifiedBy>
  <cp:revision>2</cp:revision>
  <cp:lastPrinted>2003-11-26T17:21:00Z</cp:lastPrinted>
  <dcterms:created xsi:type="dcterms:W3CDTF">2019-04-26T23:05:00Z</dcterms:created>
  <dcterms:modified xsi:type="dcterms:W3CDTF">2019-04-26T23:05:00Z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19.103.392</vt:lpwstr>
  </property>
</Properties>
</file>