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6FB7" w:rsidTr="00345119">
        <w:tc>
          <w:tcPr>
            <w:tcW w:w="9576" w:type="dxa"/>
            <w:noWrap/>
          </w:tcPr>
          <w:p w:rsidR="008423E4" w:rsidRPr="0022177D" w:rsidRDefault="00973B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3BB0" w:rsidP="008423E4">
      <w:pPr>
        <w:jc w:val="center"/>
      </w:pPr>
    </w:p>
    <w:p w:rsidR="008423E4" w:rsidRPr="00B31F0E" w:rsidRDefault="00973BB0" w:rsidP="008423E4"/>
    <w:p w:rsidR="008423E4" w:rsidRPr="00742794" w:rsidRDefault="00973B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6FB7" w:rsidTr="00345119">
        <w:tc>
          <w:tcPr>
            <w:tcW w:w="9576" w:type="dxa"/>
          </w:tcPr>
          <w:p w:rsidR="008423E4" w:rsidRPr="00861995" w:rsidRDefault="00973BB0" w:rsidP="00345119">
            <w:pPr>
              <w:jc w:val="right"/>
            </w:pPr>
            <w:r>
              <w:t>C.S.H.B. 1139</w:t>
            </w:r>
          </w:p>
        </w:tc>
      </w:tr>
      <w:tr w:rsidR="00486FB7" w:rsidTr="00345119">
        <w:tc>
          <w:tcPr>
            <w:tcW w:w="9576" w:type="dxa"/>
          </w:tcPr>
          <w:p w:rsidR="008423E4" w:rsidRPr="00861995" w:rsidRDefault="00973BB0" w:rsidP="00F471A4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486FB7" w:rsidTr="00345119">
        <w:tc>
          <w:tcPr>
            <w:tcW w:w="9576" w:type="dxa"/>
          </w:tcPr>
          <w:p w:rsidR="008423E4" w:rsidRPr="00861995" w:rsidRDefault="00973BB0" w:rsidP="00345119">
            <w:pPr>
              <w:jc w:val="right"/>
            </w:pPr>
            <w:r>
              <w:t>Criminal Jurisprudence</w:t>
            </w:r>
          </w:p>
        </w:tc>
      </w:tr>
      <w:tr w:rsidR="00486FB7" w:rsidTr="00345119">
        <w:tc>
          <w:tcPr>
            <w:tcW w:w="9576" w:type="dxa"/>
          </w:tcPr>
          <w:p w:rsidR="008423E4" w:rsidRDefault="00973BB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73BB0" w:rsidP="008423E4">
      <w:pPr>
        <w:tabs>
          <w:tab w:val="right" w:pos="9360"/>
        </w:tabs>
      </w:pPr>
    </w:p>
    <w:p w:rsidR="008423E4" w:rsidRDefault="00973BB0" w:rsidP="008423E4"/>
    <w:p w:rsidR="008423E4" w:rsidRDefault="00973B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6FB7" w:rsidTr="00345119">
        <w:tc>
          <w:tcPr>
            <w:tcW w:w="9576" w:type="dxa"/>
          </w:tcPr>
          <w:p w:rsidR="008423E4" w:rsidRPr="00A8133F" w:rsidRDefault="00973BB0" w:rsidP="001A05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3BB0" w:rsidP="001A05B9"/>
          <w:p w:rsidR="00324E07" w:rsidRDefault="00973BB0" w:rsidP="001A05B9">
            <w:pPr>
              <w:pStyle w:val="Header"/>
              <w:jc w:val="both"/>
            </w:pPr>
            <w:r>
              <w:t xml:space="preserve">Concerns have been raised over the applicability of the death penalty to a </w:t>
            </w:r>
            <w:r>
              <w:t xml:space="preserve">capital offense committed by a </w:t>
            </w:r>
            <w:r>
              <w:t xml:space="preserve">defendant who may have an intellectual disability. As a result of these concerns, there have been calls for a uniform pretrial procedure to determine whether such a defendant has </w:t>
            </w:r>
            <w:r>
              <w:t>such a</w:t>
            </w:r>
            <w:r>
              <w:t xml:space="preserve"> disability and should instead be sentenced to imprisonment for life. </w:t>
            </w:r>
            <w:r>
              <w:t>C</w:t>
            </w:r>
            <w:r>
              <w:t>.S.</w:t>
            </w:r>
            <w:r>
              <w:t xml:space="preserve">H.B. 1139 </w:t>
            </w:r>
            <w:r>
              <w:t xml:space="preserve">seeks to address these issues by prohibiting </w:t>
            </w:r>
            <w:r>
              <w:t xml:space="preserve">the sentencing of a </w:t>
            </w:r>
            <w:r w:rsidRPr="00EE2C67">
              <w:t>defendant who is a person with an intellectual disability</w:t>
            </w:r>
            <w:r>
              <w:t xml:space="preserve"> to death and </w:t>
            </w:r>
            <w:r>
              <w:t xml:space="preserve">by creating </w:t>
            </w:r>
            <w:r>
              <w:t xml:space="preserve">a </w:t>
            </w:r>
            <w:r>
              <w:t xml:space="preserve">hearing process </w:t>
            </w:r>
            <w:r>
              <w:t xml:space="preserve">for purposes of </w:t>
            </w:r>
            <w:r>
              <w:t>determining whether a defendant is a person with an intellect</w:t>
            </w:r>
            <w:r>
              <w:t xml:space="preserve">ual disability. </w:t>
            </w:r>
          </w:p>
          <w:p w:rsidR="008423E4" w:rsidRPr="00E26B13" w:rsidRDefault="00973BB0" w:rsidP="001A05B9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486FB7" w:rsidTr="00345119">
        <w:tc>
          <w:tcPr>
            <w:tcW w:w="9576" w:type="dxa"/>
          </w:tcPr>
          <w:p w:rsidR="0017725B" w:rsidRDefault="00973BB0" w:rsidP="001A0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3BB0" w:rsidP="001A05B9">
            <w:pPr>
              <w:rPr>
                <w:b/>
                <w:u w:val="single"/>
              </w:rPr>
            </w:pPr>
          </w:p>
          <w:p w:rsidR="00EE2C67" w:rsidRPr="00EE2C67" w:rsidRDefault="00973BB0" w:rsidP="001A05B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973BB0" w:rsidP="001A05B9">
            <w:pPr>
              <w:rPr>
                <w:b/>
                <w:u w:val="single"/>
              </w:rPr>
            </w:pPr>
          </w:p>
        </w:tc>
      </w:tr>
      <w:tr w:rsidR="00486FB7" w:rsidTr="00345119">
        <w:tc>
          <w:tcPr>
            <w:tcW w:w="9576" w:type="dxa"/>
          </w:tcPr>
          <w:p w:rsidR="008423E4" w:rsidRPr="00A8133F" w:rsidRDefault="00973BB0" w:rsidP="001A05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3BB0" w:rsidP="001A05B9"/>
          <w:p w:rsidR="00EE2C67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73BB0" w:rsidP="001A05B9">
            <w:pPr>
              <w:rPr>
                <w:b/>
              </w:rPr>
            </w:pPr>
          </w:p>
        </w:tc>
      </w:tr>
      <w:tr w:rsidR="00486FB7" w:rsidTr="00345119">
        <w:tc>
          <w:tcPr>
            <w:tcW w:w="9576" w:type="dxa"/>
          </w:tcPr>
          <w:p w:rsidR="008423E4" w:rsidRPr="00A8133F" w:rsidRDefault="00973BB0" w:rsidP="001A05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407C0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24E07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1139 amends the </w:t>
            </w:r>
            <w:r w:rsidRPr="00EE2C67">
              <w:t>Code of Criminal Procedure</w:t>
            </w:r>
            <w:r>
              <w:t xml:space="preserve"> to prohibit the sentencing of a </w:t>
            </w:r>
            <w:r w:rsidRPr="00EE2C67">
              <w:t>defendant who is a person with an intellectual disability</w:t>
            </w:r>
            <w:r>
              <w:t xml:space="preserve"> to death. </w:t>
            </w:r>
            <w:r>
              <w:t xml:space="preserve">The bill authorizes an attorney for a defendant in a capital case, </w:t>
            </w:r>
            <w:r w:rsidRPr="002212FF">
              <w:t xml:space="preserve">not later than the </w:t>
            </w:r>
            <w:r>
              <w:t>180</w:t>
            </w:r>
            <w:r w:rsidRPr="002212FF">
              <w:t>th d</w:t>
            </w:r>
            <w:r w:rsidRPr="002212FF">
              <w:t xml:space="preserve">ay before the date </w:t>
            </w:r>
            <w:r>
              <w:t xml:space="preserve">the </w:t>
            </w:r>
            <w:r w:rsidRPr="002212FF">
              <w:t>t</w:t>
            </w:r>
            <w:r>
              <w:t xml:space="preserve">rial is scheduled to begin, to </w:t>
            </w:r>
            <w:r w:rsidRPr="002212FF">
              <w:t>request in writing that the judge hearing the case hold a hearing to determine whether the defendant is a person with an intellectual disability.</w:t>
            </w:r>
            <w:r>
              <w:t xml:space="preserve"> The request </w:t>
            </w:r>
            <w:r>
              <w:t xml:space="preserve">must </w:t>
            </w:r>
            <w:r>
              <w:t xml:space="preserve">be accompanied by </w:t>
            </w:r>
            <w:r w:rsidRPr="002212FF">
              <w:t xml:space="preserve">evidence </w:t>
            </w:r>
            <w:r w:rsidRPr="00677D86">
              <w:t>from a cred</w:t>
            </w:r>
            <w:r w:rsidRPr="00677D86">
              <w:t xml:space="preserve">ible source indicating </w:t>
            </w:r>
            <w:r w:rsidRPr="002212FF">
              <w:t>that the defendant is a person</w:t>
            </w:r>
            <w:r>
              <w:t xml:space="preserve"> with an intellectual disability</w:t>
            </w:r>
            <w:r>
              <w:t xml:space="preserve">. </w:t>
            </w:r>
          </w:p>
          <w:p w:rsidR="00324E07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212FF" w:rsidRDefault="00973BB0" w:rsidP="001A05B9">
            <w:pPr>
              <w:pStyle w:val="Header"/>
              <w:jc w:val="both"/>
            </w:pPr>
            <w:r>
              <w:t>C.S.</w:t>
            </w:r>
            <w:r>
              <w:t>H.B. 1139</w:t>
            </w:r>
            <w:r>
              <w:t xml:space="preserve"> requires the judge to hold such a hearing </w:t>
            </w:r>
            <w:r>
              <w:t xml:space="preserve">not later than the 120th day before the date the trial is scheduled to begin </w:t>
            </w:r>
            <w:r>
              <w:t>if the judge determines the reques</w:t>
            </w:r>
            <w:r>
              <w:t xml:space="preserve">t was timely filed and was accompanied by </w:t>
            </w:r>
            <w:r>
              <w:t>any</w:t>
            </w:r>
            <w:r>
              <w:t xml:space="preserve"> such</w:t>
            </w:r>
            <w:r>
              <w:t xml:space="preserve"> </w:t>
            </w:r>
            <w:r>
              <w:t>evidence</w:t>
            </w:r>
            <w:r>
              <w:t xml:space="preserve">. </w:t>
            </w:r>
            <w:r>
              <w:t>I</w:t>
            </w:r>
            <w:r>
              <w:t xml:space="preserve">f </w:t>
            </w:r>
            <w:r w:rsidRPr="00BF304F">
              <w:t>the attorney for a defendant files an untimely request or</w:t>
            </w:r>
            <w:r>
              <w:t>,</w:t>
            </w:r>
            <w:r w:rsidRPr="00BF304F">
              <w:t xml:space="preserve"> afte</w:t>
            </w:r>
            <w:r>
              <w:t xml:space="preserve">r the time for filing a request, </w:t>
            </w:r>
            <w:r w:rsidRPr="00BF304F">
              <w:t>otherwise presents evidence that the defendant is a person with an intellectual disability</w:t>
            </w:r>
            <w:r>
              <w:t xml:space="preserve"> and </w:t>
            </w:r>
            <w:r w:rsidRPr="00BF304F">
              <w:t>c</w:t>
            </w:r>
            <w:r w:rsidRPr="00BF304F">
              <w:t>an show good cause for not filing a request within the time limit</w:t>
            </w:r>
            <w:r w:rsidRPr="00BF304F">
              <w:t>,</w:t>
            </w:r>
            <w:r>
              <w:t xml:space="preserve"> a judge</w:t>
            </w:r>
            <w:r>
              <w:t xml:space="preserve"> </w:t>
            </w:r>
            <w:r>
              <w:t xml:space="preserve">may </w:t>
            </w:r>
            <w:r w:rsidRPr="00BF304F">
              <w:t xml:space="preserve">hold </w:t>
            </w:r>
            <w:r>
              <w:t xml:space="preserve">such </w:t>
            </w:r>
            <w:r w:rsidRPr="00BF304F">
              <w:t>a hearing outside the presence of the jury</w:t>
            </w:r>
            <w:r>
              <w:t>. The bill establishes that an attorney demonstrates good cause for not filing a request within the time limit if the attorney represents to the court that the attorney has represented the defendant in the case for fewer than six months or demonstrates tha</w:t>
            </w:r>
            <w:r>
              <w:t xml:space="preserve">t the attorney exercised reasonable diligence to obtain </w:t>
            </w:r>
            <w:r>
              <w:t xml:space="preserve">the required </w:t>
            </w:r>
            <w:r>
              <w:t>evidence but was unable to do so for reasons beyond the attorney's control.</w:t>
            </w:r>
          </w:p>
          <w:p w:rsidR="00346496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24E07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>1139</w:t>
            </w:r>
            <w:r>
              <w:t xml:space="preserve"> requires a judge</w:t>
            </w:r>
            <w:r>
              <w:t>,</w:t>
            </w:r>
            <w:r>
              <w:t xml:space="preserve"> on the request </w:t>
            </w:r>
            <w:r w:rsidRPr="00346496">
              <w:t>of either party or on the judge's own motion,</w:t>
            </w:r>
            <w:r>
              <w:t xml:space="preserve"> to </w:t>
            </w:r>
            <w:r w:rsidRPr="00346496">
              <w:t>appoint a disi</w:t>
            </w:r>
            <w:r w:rsidRPr="00346496">
              <w:t>nterested expert experienced and qualified in the field of diagnosing intellectual disabilities to examine the defendant and determine whether the defendant is a person with an intellectual disability.</w:t>
            </w:r>
            <w:r>
              <w:t xml:space="preserve"> The bill authorizes the judge to </w:t>
            </w:r>
            <w:r w:rsidRPr="00346496">
              <w:t>order the defendant t</w:t>
            </w:r>
            <w:r>
              <w:t>o submit to an examination by the</w:t>
            </w:r>
            <w:r w:rsidRPr="00346496">
              <w:t xml:space="preserve"> expert</w:t>
            </w:r>
            <w:r>
              <w:t xml:space="preserve"> </w:t>
            </w:r>
            <w:r>
              <w:t>and requires such an examination to</w:t>
            </w:r>
            <w:r>
              <w:t xml:space="preserve"> </w:t>
            </w:r>
            <w:r>
              <w:t xml:space="preserve">be </w:t>
            </w:r>
            <w:r w:rsidRPr="00346496">
              <w:t>narrowly tailored to determine whether the defendant has an intellectual disability.</w:t>
            </w:r>
            <w:r>
              <w:t xml:space="preserve"> </w:t>
            </w:r>
          </w:p>
          <w:p w:rsidR="00324E07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1139</w:t>
            </w:r>
            <w:r>
              <w:t xml:space="preserve"> places the burden of proof</w:t>
            </w:r>
            <w:r>
              <w:t xml:space="preserve"> on the defendant to prove</w:t>
            </w:r>
            <w:r>
              <w:t xml:space="preserve"> at such a hearing </w:t>
            </w:r>
            <w:r w:rsidRPr="00346496">
              <w:t>by a</w:t>
            </w:r>
            <w:r w:rsidRPr="00346496">
              <w:t xml:space="preserve"> preponderance of </w:t>
            </w:r>
            <w:r>
              <w:t xml:space="preserve">the </w:t>
            </w:r>
            <w:r w:rsidRPr="00346496">
              <w:t xml:space="preserve">evidence that the defendant is a person </w:t>
            </w:r>
            <w:r>
              <w:t xml:space="preserve">with an intellectual disability and authorizes the state to </w:t>
            </w:r>
            <w:r w:rsidRPr="00346496">
              <w:t>offer evidence to rebut evidence offered by the defendant.</w:t>
            </w:r>
            <w:r>
              <w:t xml:space="preserve"> </w:t>
            </w:r>
            <w:r>
              <w:t xml:space="preserve">Evidence </w:t>
            </w:r>
            <w:r>
              <w:t xml:space="preserve">offered by either party for the purposes of the hearing </w:t>
            </w:r>
            <w:r>
              <w:t xml:space="preserve">must </w:t>
            </w:r>
            <w:r w:rsidRPr="00346496">
              <w:t>be co</w:t>
            </w:r>
            <w:r w:rsidRPr="00346496">
              <w:t>nsistent with prevailing medical standards for the diagnosis of intellectual disabilities.</w:t>
            </w:r>
          </w:p>
          <w:p w:rsidR="00346496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24E07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1139 requires the judge, not later than </w:t>
            </w:r>
            <w:r w:rsidRPr="00346496">
              <w:t xml:space="preserve">the </w:t>
            </w:r>
            <w:r>
              <w:t>3</w:t>
            </w:r>
            <w:r w:rsidRPr="00346496">
              <w:t>0</w:t>
            </w:r>
            <w:r>
              <w:t>th day after the conclusion of the</w:t>
            </w:r>
            <w:r w:rsidRPr="00346496">
              <w:t xml:space="preserve"> hearing</w:t>
            </w:r>
            <w:r>
              <w:t xml:space="preserve">, to </w:t>
            </w:r>
            <w:r>
              <w:t>determine whether the defendant is a person with an intellectu</w:t>
            </w:r>
            <w:r>
              <w:t xml:space="preserve">al disability and to </w:t>
            </w:r>
            <w:r w:rsidRPr="00346496">
              <w:t>issue a</w:t>
            </w:r>
            <w:r>
              <w:t xml:space="preserve">n </w:t>
            </w:r>
            <w:r>
              <w:t xml:space="preserve">appropriate </w:t>
            </w:r>
            <w:r>
              <w:t xml:space="preserve">order </w:t>
            </w:r>
            <w:r>
              <w:t xml:space="preserve">that must </w:t>
            </w:r>
            <w:r>
              <w:t>contain</w:t>
            </w:r>
            <w:r w:rsidRPr="00346496">
              <w:t xml:space="preserve"> finding</w:t>
            </w:r>
            <w:r>
              <w:t>s</w:t>
            </w:r>
            <w:r w:rsidRPr="00346496">
              <w:t xml:space="preserve"> of fact</w:t>
            </w:r>
            <w:r>
              <w:t xml:space="preserve"> </w:t>
            </w:r>
            <w:r>
              <w:t xml:space="preserve">explaining </w:t>
            </w:r>
            <w:r>
              <w:t xml:space="preserve">the judge's reasoning </w:t>
            </w:r>
            <w:r>
              <w:t xml:space="preserve">for the determination </w:t>
            </w:r>
            <w:r>
              <w:t xml:space="preserve">and </w:t>
            </w:r>
            <w:r>
              <w:t>cit</w:t>
            </w:r>
            <w:r>
              <w:t>ing</w:t>
            </w:r>
            <w:r>
              <w:t xml:space="preserve"> </w:t>
            </w:r>
            <w:r>
              <w:t>evidence in the record</w:t>
            </w:r>
            <w:r w:rsidRPr="00346496">
              <w:t>.</w:t>
            </w:r>
            <w:r>
              <w:t xml:space="preserve"> </w:t>
            </w:r>
          </w:p>
          <w:p w:rsidR="00324E07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46496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1139 </w:t>
            </w:r>
            <w:r>
              <w:t>requires the judge</w:t>
            </w:r>
            <w:r>
              <w:t>, i</w:t>
            </w:r>
            <w:r>
              <w:t xml:space="preserve">f the judge </w:t>
            </w:r>
            <w:r w:rsidRPr="00895FAE">
              <w:t xml:space="preserve">does not </w:t>
            </w:r>
            <w:r>
              <w:t>determine</w:t>
            </w:r>
            <w:r w:rsidRPr="00895FAE">
              <w:t xml:space="preserve"> </w:t>
            </w:r>
            <w:r w:rsidRPr="00895FAE">
              <w:t xml:space="preserve">that the </w:t>
            </w:r>
            <w:r w:rsidRPr="00895FAE">
              <w:t>defendant is a person with an intellectual disability,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conduct the trial </w:t>
            </w:r>
            <w:r w:rsidRPr="00895FAE">
              <w:t>of the of</w:t>
            </w:r>
            <w:r>
              <w:t>fense in the same manner as if the</w:t>
            </w:r>
            <w:r w:rsidRPr="00895FAE">
              <w:t xml:space="preserve"> hearing had not been held.</w:t>
            </w:r>
            <w:r>
              <w:t xml:space="preserve"> The bill prohibits the jury</w:t>
            </w:r>
            <w:r>
              <w:t xml:space="preserve"> at </w:t>
            </w:r>
            <w:r>
              <w:t xml:space="preserve">that </w:t>
            </w:r>
            <w:r>
              <w:t>trial</w:t>
            </w:r>
            <w:r>
              <w:t xml:space="preserve"> from being </w:t>
            </w:r>
            <w:r w:rsidRPr="00895FAE">
              <w:t xml:space="preserve">informed of the fact that the judge held </w:t>
            </w:r>
            <w:r>
              <w:t>the</w:t>
            </w:r>
            <w:r w:rsidRPr="00895FAE">
              <w:t xml:space="preserve"> hearing</w:t>
            </w:r>
            <w:r>
              <w:t xml:space="preserve"> and</w:t>
            </w:r>
            <w:r>
              <w:t xml:space="preserve"> authorizes the defendant to </w:t>
            </w:r>
            <w:r>
              <w:t>p</w:t>
            </w:r>
            <w:r w:rsidRPr="00D65099">
              <w:t>resent evidence of intellectual disability as otherwise permitted by law.</w:t>
            </w:r>
            <w:r>
              <w:t xml:space="preserve"> </w:t>
            </w:r>
            <w:r>
              <w:t xml:space="preserve">The bill entitles the state to appeal an order of a court in a criminal case that determines that a defendant </w:t>
            </w:r>
            <w:r w:rsidRPr="00677D86">
              <w:t>is a person with an intellectual disabilit</w:t>
            </w:r>
            <w:r w:rsidRPr="00677D86">
              <w:t>y</w:t>
            </w:r>
            <w:r>
              <w:t>.</w:t>
            </w:r>
            <w:r>
              <w:t xml:space="preserve"> </w:t>
            </w:r>
          </w:p>
          <w:p w:rsidR="008423E4" w:rsidRPr="00835628" w:rsidRDefault="00973BB0" w:rsidP="001A05B9">
            <w:pPr>
              <w:rPr>
                <w:b/>
              </w:rPr>
            </w:pPr>
          </w:p>
        </w:tc>
      </w:tr>
      <w:tr w:rsidR="00486FB7" w:rsidTr="00345119">
        <w:tc>
          <w:tcPr>
            <w:tcW w:w="9576" w:type="dxa"/>
          </w:tcPr>
          <w:p w:rsidR="008423E4" w:rsidRPr="00A8133F" w:rsidRDefault="00973BB0" w:rsidP="001A05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3BB0" w:rsidP="001A05B9"/>
          <w:p w:rsidR="008423E4" w:rsidRPr="003624F2" w:rsidRDefault="00973BB0" w:rsidP="001A0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E2C67">
              <w:t>September 1, 2019.</w:t>
            </w:r>
          </w:p>
          <w:p w:rsidR="008423E4" w:rsidRPr="00233FDB" w:rsidRDefault="00973BB0" w:rsidP="001A05B9">
            <w:pPr>
              <w:rPr>
                <w:b/>
              </w:rPr>
            </w:pPr>
          </w:p>
        </w:tc>
      </w:tr>
      <w:tr w:rsidR="00486FB7" w:rsidTr="00345119">
        <w:tc>
          <w:tcPr>
            <w:tcW w:w="9576" w:type="dxa"/>
          </w:tcPr>
          <w:p w:rsidR="00F471A4" w:rsidRDefault="00973BB0" w:rsidP="001A05B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E73F8" w:rsidRDefault="00973BB0" w:rsidP="001A05B9">
            <w:pPr>
              <w:jc w:val="both"/>
              <w:rPr>
                <w:b/>
                <w:u w:val="single"/>
              </w:rPr>
            </w:pPr>
          </w:p>
          <w:p w:rsidR="00DE73F8" w:rsidRDefault="00973BB0" w:rsidP="001A05B9">
            <w:pPr>
              <w:jc w:val="both"/>
            </w:pPr>
            <w:r>
              <w:t>While C.S.H.B</w:t>
            </w:r>
            <w:r>
              <w:t xml:space="preserve">. 1139 may differ from the original in minor or nonsubstantive ways, the following summarizes the substantial differences between the introduced and committee substitute versions of the bill. </w:t>
            </w:r>
          </w:p>
          <w:p w:rsidR="00DE73F8" w:rsidRDefault="00973BB0" w:rsidP="001A05B9">
            <w:pPr>
              <w:jc w:val="both"/>
            </w:pPr>
          </w:p>
          <w:p w:rsidR="005726C2" w:rsidRDefault="00973BB0" w:rsidP="001A05B9">
            <w:pPr>
              <w:jc w:val="both"/>
            </w:pPr>
            <w:r>
              <w:t xml:space="preserve">The substitute </w:t>
            </w:r>
            <w:r>
              <w:t xml:space="preserve">includes a provision </w:t>
            </w:r>
            <w:r>
              <w:t>authoriz</w:t>
            </w:r>
            <w:r>
              <w:t>ing</w:t>
            </w:r>
            <w:r>
              <w:t xml:space="preserve"> </w:t>
            </w:r>
            <w:r>
              <w:t xml:space="preserve">a </w:t>
            </w:r>
            <w:r>
              <w:t>judge to hol</w:t>
            </w:r>
            <w:r>
              <w:t>d a hearing</w:t>
            </w:r>
            <w:r>
              <w:t xml:space="preserve"> with regard to an untimely request </w:t>
            </w:r>
            <w:r>
              <w:t xml:space="preserve">for a hearing </w:t>
            </w:r>
            <w:r>
              <w:t>o</w:t>
            </w:r>
            <w:r>
              <w:t>n</w:t>
            </w:r>
            <w:r>
              <w:t xml:space="preserve"> </w:t>
            </w:r>
            <w:r>
              <w:t xml:space="preserve">certain </w:t>
            </w:r>
            <w:r>
              <w:t xml:space="preserve">evidence that </w:t>
            </w:r>
            <w:r>
              <w:t>a defendant is a person with an intellectual disability</w:t>
            </w:r>
            <w:r>
              <w:t xml:space="preserve"> presented </w:t>
            </w:r>
            <w:r>
              <w:t xml:space="preserve">after the time for filing </w:t>
            </w:r>
            <w:r>
              <w:t>a</w:t>
            </w:r>
            <w:r>
              <w:t xml:space="preserve"> request</w:t>
            </w:r>
            <w:r>
              <w:t>.</w:t>
            </w:r>
          </w:p>
          <w:p w:rsidR="005726C2" w:rsidRDefault="00973BB0" w:rsidP="001A05B9">
            <w:pPr>
              <w:jc w:val="both"/>
            </w:pPr>
          </w:p>
          <w:p w:rsidR="00C54BC3" w:rsidRDefault="00973BB0" w:rsidP="001A05B9">
            <w:pPr>
              <w:jc w:val="both"/>
            </w:pPr>
            <w:r>
              <w:t>The substitute makes the following changes with respect to deadlin</w:t>
            </w:r>
            <w:r>
              <w:t xml:space="preserve">es for a hearing: </w:t>
            </w:r>
          </w:p>
          <w:p w:rsidR="00C54BC3" w:rsidRDefault="00973BB0" w:rsidP="001A05B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changes</w:t>
            </w:r>
            <w:r>
              <w:t xml:space="preserve"> </w:t>
            </w:r>
            <w:r>
              <w:t xml:space="preserve">the deadline </w:t>
            </w:r>
            <w:r>
              <w:t xml:space="preserve">by which </w:t>
            </w:r>
            <w:r>
              <w:t xml:space="preserve">an attorney </w:t>
            </w:r>
            <w:r>
              <w:t xml:space="preserve">may </w:t>
            </w:r>
            <w:r>
              <w:t>request a hearing</w:t>
            </w:r>
            <w:r>
              <w:t>;</w:t>
            </w:r>
            <w:r>
              <w:t xml:space="preserve"> </w:t>
            </w:r>
          </w:p>
          <w:p w:rsidR="00C54BC3" w:rsidRDefault="00973BB0" w:rsidP="001A05B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sets </w:t>
            </w:r>
            <w:r>
              <w:t xml:space="preserve">a deadline by which the judge must hold </w:t>
            </w:r>
            <w:r>
              <w:t>the</w:t>
            </w:r>
            <w:r>
              <w:t xml:space="preserve"> hearing</w:t>
            </w:r>
            <w:r>
              <w:t>;</w:t>
            </w:r>
            <w:r>
              <w:t xml:space="preserve"> and </w:t>
            </w:r>
          </w:p>
          <w:p w:rsidR="0087492D" w:rsidRDefault="00973BB0" w:rsidP="001A05B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shortens </w:t>
            </w:r>
            <w:r>
              <w:t xml:space="preserve">the deadline </w:t>
            </w:r>
            <w:r>
              <w:t>by which the</w:t>
            </w:r>
            <w:r>
              <w:t xml:space="preserve"> judge </w:t>
            </w:r>
            <w:r>
              <w:t xml:space="preserve">must make </w:t>
            </w:r>
            <w:r>
              <w:t>a determination</w:t>
            </w:r>
            <w:r>
              <w:t xml:space="preserve"> and issue an order</w:t>
            </w:r>
            <w:r>
              <w:t>.</w:t>
            </w:r>
          </w:p>
          <w:p w:rsidR="00C54BC3" w:rsidRDefault="00973BB0" w:rsidP="001A05B9">
            <w:pPr>
              <w:spacing w:before="120" w:after="120"/>
              <w:jc w:val="both"/>
            </w:pPr>
            <w:r>
              <w:t xml:space="preserve"> </w:t>
            </w:r>
          </w:p>
          <w:p w:rsidR="005726C2" w:rsidRDefault="00973BB0" w:rsidP="001A05B9">
            <w:pPr>
              <w:jc w:val="both"/>
            </w:pPr>
            <w:r>
              <w:t>The substitute entitles the state to appeal a judge's order following the determination.</w:t>
            </w:r>
          </w:p>
          <w:p w:rsidR="0087492D" w:rsidRDefault="00973BB0" w:rsidP="001A05B9">
            <w:pPr>
              <w:jc w:val="both"/>
            </w:pPr>
          </w:p>
          <w:p w:rsidR="00CD1DC6" w:rsidRDefault="00973BB0" w:rsidP="001A05B9">
            <w:pPr>
              <w:jc w:val="both"/>
            </w:pPr>
            <w:r>
              <w:t xml:space="preserve">The substitute removes </w:t>
            </w:r>
            <w:r>
              <w:t xml:space="preserve">a </w:t>
            </w:r>
            <w:r>
              <w:t xml:space="preserve">provision requiring a judge to sentence a </w:t>
            </w:r>
            <w:r>
              <w:t xml:space="preserve">defendant </w:t>
            </w:r>
            <w:r>
              <w:t xml:space="preserve">who is found to be a person with an intellectual disability and </w:t>
            </w:r>
            <w:r>
              <w:t xml:space="preserve">who is </w:t>
            </w:r>
            <w:r>
              <w:t xml:space="preserve">subsequently </w:t>
            </w:r>
            <w:r>
              <w:t>convi</w:t>
            </w:r>
            <w:r>
              <w:t>cted</w:t>
            </w:r>
            <w:r>
              <w:t xml:space="preserve"> of a capital offense</w:t>
            </w:r>
            <w:r>
              <w:t xml:space="preserve"> </w:t>
            </w:r>
            <w:r>
              <w:t xml:space="preserve">to life without parole. </w:t>
            </w:r>
          </w:p>
          <w:p w:rsidR="00CD1DC6" w:rsidRPr="00CD1DC6" w:rsidRDefault="00973BB0" w:rsidP="001A05B9">
            <w:pPr>
              <w:jc w:val="both"/>
            </w:pPr>
          </w:p>
        </w:tc>
      </w:tr>
      <w:tr w:rsidR="00486FB7" w:rsidTr="00345119">
        <w:tc>
          <w:tcPr>
            <w:tcW w:w="9576" w:type="dxa"/>
          </w:tcPr>
          <w:p w:rsidR="00F471A4" w:rsidRPr="009C1E9A" w:rsidRDefault="00973BB0" w:rsidP="001A05B9">
            <w:pPr>
              <w:rPr>
                <w:b/>
                <w:u w:val="single"/>
              </w:rPr>
            </w:pPr>
          </w:p>
        </w:tc>
      </w:tr>
      <w:tr w:rsidR="00486FB7" w:rsidTr="00345119">
        <w:tc>
          <w:tcPr>
            <w:tcW w:w="9576" w:type="dxa"/>
          </w:tcPr>
          <w:p w:rsidR="00F471A4" w:rsidRPr="00F471A4" w:rsidRDefault="00973BB0" w:rsidP="001A05B9">
            <w:pPr>
              <w:jc w:val="both"/>
            </w:pPr>
          </w:p>
        </w:tc>
      </w:tr>
    </w:tbl>
    <w:p w:rsidR="008423E4" w:rsidRPr="00BE0E75" w:rsidRDefault="00973B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73BB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3BB0">
      <w:r>
        <w:separator/>
      </w:r>
    </w:p>
  </w:endnote>
  <w:endnote w:type="continuationSeparator" w:id="0">
    <w:p w:rsidR="00000000" w:rsidRDefault="0097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6FB7" w:rsidTr="009C1E9A">
      <w:trPr>
        <w:cantSplit/>
      </w:trPr>
      <w:tc>
        <w:tcPr>
          <w:tcW w:w="0" w:type="pct"/>
        </w:tcPr>
        <w:p w:rsidR="00137D90" w:rsidRDefault="00973B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3B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3B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3B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3B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6FB7" w:rsidTr="009C1E9A">
      <w:trPr>
        <w:cantSplit/>
      </w:trPr>
      <w:tc>
        <w:tcPr>
          <w:tcW w:w="0" w:type="pct"/>
        </w:tcPr>
        <w:p w:rsidR="00EC379B" w:rsidRDefault="00973B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3B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22311</w:t>
          </w:r>
        </w:p>
      </w:tc>
      <w:tc>
        <w:tcPr>
          <w:tcW w:w="2453" w:type="pct"/>
        </w:tcPr>
        <w:p w:rsidR="00EC379B" w:rsidRDefault="00973B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19.86.713</w:t>
          </w:r>
          <w:r>
            <w:fldChar w:fldCharType="end"/>
          </w:r>
        </w:p>
      </w:tc>
    </w:tr>
    <w:tr w:rsidR="00486FB7" w:rsidTr="009C1E9A">
      <w:trPr>
        <w:cantSplit/>
      </w:trPr>
      <w:tc>
        <w:tcPr>
          <w:tcW w:w="0" w:type="pct"/>
        </w:tcPr>
        <w:p w:rsidR="00EC379B" w:rsidRDefault="00973B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3B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20844</w:t>
          </w:r>
        </w:p>
      </w:tc>
      <w:tc>
        <w:tcPr>
          <w:tcW w:w="2453" w:type="pct"/>
        </w:tcPr>
        <w:p w:rsidR="00EC379B" w:rsidRDefault="00973BB0" w:rsidP="006D504F">
          <w:pPr>
            <w:pStyle w:val="Footer"/>
            <w:rPr>
              <w:rStyle w:val="PageNumber"/>
            </w:rPr>
          </w:pPr>
        </w:p>
        <w:p w:rsidR="00EC379B" w:rsidRDefault="00973B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6F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3B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73B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3B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3BB0">
      <w:r>
        <w:separator/>
      </w:r>
    </w:p>
  </w:footnote>
  <w:footnote w:type="continuationSeparator" w:id="0">
    <w:p w:rsidR="00000000" w:rsidRDefault="0097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2E0"/>
    <w:multiLevelType w:val="hybridMultilevel"/>
    <w:tmpl w:val="A67C732C"/>
    <w:lvl w:ilvl="0" w:tplc="EF9CC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CE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44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4F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81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6B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6B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4A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07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97B0F"/>
    <w:multiLevelType w:val="hybridMultilevel"/>
    <w:tmpl w:val="A1ACD8B4"/>
    <w:lvl w:ilvl="0" w:tplc="FB629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6E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6C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A7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E9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AE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C4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8A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EB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7"/>
    <w:rsid w:val="00486FB7"/>
    <w:rsid w:val="009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7B4CBC-5A8F-4A49-B4AF-EB4AA90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50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0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099"/>
    <w:rPr>
      <w:b/>
      <w:bCs/>
    </w:rPr>
  </w:style>
  <w:style w:type="character" w:styleId="Hyperlink">
    <w:name w:val="Hyperlink"/>
    <w:basedOn w:val="DefaultParagraphFont"/>
    <w:unhideWhenUsed/>
    <w:rsid w:val="00716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BC3"/>
    <w:pPr>
      <w:ind w:left="720"/>
      <w:contextualSpacing/>
    </w:pPr>
  </w:style>
  <w:style w:type="paragraph" w:styleId="Revision">
    <w:name w:val="Revision"/>
    <w:hidden/>
    <w:uiPriority w:val="99"/>
    <w:semiHidden/>
    <w:rsid w:val="00DE7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4879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HB01139 (Committee Report (Substituted))</vt:lpstr>
    </vt:vector>
  </TitlesOfParts>
  <Company>State of Texas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22311</dc:subject>
  <dc:creator>State of Texas</dc:creator>
  <dc:description>HB 1139 by Thompson, Senfronia-(H)Criminal Jurisprudence (Substitute Document Number: 86R 20844)</dc:description>
  <cp:lastModifiedBy>Scotty Wimberley</cp:lastModifiedBy>
  <cp:revision>2</cp:revision>
  <cp:lastPrinted>2019-01-29T19:24:00Z</cp:lastPrinted>
  <dcterms:created xsi:type="dcterms:W3CDTF">2019-04-05T18:20:00Z</dcterms:created>
  <dcterms:modified xsi:type="dcterms:W3CDTF">2019-04-05T18:20:00Z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19.86.713</vt:lpwstr>
  </property>
</Properties>
</file>