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C6DD1" w:rsidTr="00345119">
        <w:tc>
          <w:tcPr>
            <w:tcW w:w="9576" w:type="dxa"/>
            <w:noWrap/>
          </w:tcPr>
          <w:p w:rsidR="008423E4" w:rsidRPr="0022177D" w:rsidRDefault="00BE10B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E10B3" w:rsidP="008423E4">
      <w:pPr>
        <w:jc w:val="center"/>
      </w:pPr>
    </w:p>
    <w:p w:rsidR="008423E4" w:rsidRPr="00B31F0E" w:rsidRDefault="00BE10B3" w:rsidP="008423E4"/>
    <w:p w:rsidR="008423E4" w:rsidRPr="00742794" w:rsidRDefault="00BE10B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C6DD1" w:rsidTr="00345119">
        <w:tc>
          <w:tcPr>
            <w:tcW w:w="9576" w:type="dxa"/>
          </w:tcPr>
          <w:p w:rsidR="008423E4" w:rsidRPr="00861995" w:rsidRDefault="00BE10B3" w:rsidP="00345119">
            <w:pPr>
              <w:jc w:val="right"/>
            </w:pPr>
            <w:r>
              <w:t>C.S.H.B. 1176</w:t>
            </w:r>
          </w:p>
        </w:tc>
      </w:tr>
      <w:tr w:rsidR="006C6DD1" w:rsidTr="00345119">
        <w:tc>
          <w:tcPr>
            <w:tcW w:w="9576" w:type="dxa"/>
          </w:tcPr>
          <w:p w:rsidR="008423E4" w:rsidRPr="00861995" w:rsidRDefault="00BE10B3" w:rsidP="00F92C93">
            <w:pPr>
              <w:jc w:val="right"/>
            </w:pPr>
            <w:r>
              <w:t xml:space="preserve">By: </w:t>
            </w:r>
            <w:r>
              <w:t>Darby</w:t>
            </w:r>
          </w:p>
        </w:tc>
      </w:tr>
      <w:tr w:rsidR="006C6DD1" w:rsidTr="00345119">
        <w:tc>
          <w:tcPr>
            <w:tcW w:w="9576" w:type="dxa"/>
          </w:tcPr>
          <w:p w:rsidR="008423E4" w:rsidRPr="00861995" w:rsidRDefault="00BE10B3" w:rsidP="00345119">
            <w:pPr>
              <w:jc w:val="right"/>
            </w:pPr>
            <w:r>
              <w:t>Judiciary &amp; Civil Jurisprudence</w:t>
            </w:r>
          </w:p>
        </w:tc>
      </w:tr>
      <w:tr w:rsidR="006C6DD1" w:rsidTr="00345119">
        <w:tc>
          <w:tcPr>
            <w:tcW w:w="9576" w:type="dxa"/>
          </w:tcPr>
          <w:p w:rsidR="008423E4" w:rsidRDefault="00BE10B3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BE10B3" w:rsidP="008423E4">
      <w:pPr>
        <w:tabs>
          <w:tab w:val="right" w:pos="9360"/>
        </w:tabs>
      </w:pPr>
    </w:p>
    <w:p w:rsidR="008423E4" w:rsidRDefault="00BE10B3" w:rsidP="008423E4"/>
    <w:p w:rsidR="008423E4" w:rsidRDefault="00BE10B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C6DD1" w:rsidTr="00345119">
        <w:tc>
          <w:tcPr>
            <w:tcW w:w="9576" w:type="dxa"/>
          </w:tcPr>
          <w:p w:rsidR="008423E4" w:rsidRPr="00A8133F" w:rsidRDefault="00BE10B3" w:rsidP="0073079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E10B3" w:rsidP="0073079D"/>
          <w:p w:rsidR="008423E4" w:rsidRDefault="00BE10B3" w:rsidP="0073079D">
            <w:pPr>
              <w:pStyle w:val="Header"/>
              <w:jc w:val="both"/>
            </w:pPr>
            <w:r>
              <w:t xml:space="preserve">It has been suggested that </w:t>
            </w:r>
            <w:r w:rsidRPr="00E713E5">
              <w:t xml:space="preserve">the current two-year </w:t>
            </w:r>
            <w:r w:rsidRPr="00464277">
              <w:t>statu</w:t>
            </w:r>
            <w:r w:rsidRPr="00464277">
              <w:t>t</w:t>
            </w:r>
            <w:r w:rsidRPr="00464277">
              <w:t>e of repose</w:t>
            </w:r>
            <w:r w:rsidRPr="00E713E5">
              <w:t xml:space="preserve"> for a technical defect in </w:t>
            </w:r>
            <w:r>
              <w:t xml:space="preserve">the notarial acknowledgment of </w:t>
            </w:r>
            <w:r w:rsidRPr="00E713E5">
              <w:t>an instrument</w:t>
            </w:r>
            <w:r>
              <w:t xml:space="preserve"> conveying real property may be </w:t>
            </w:r>
            <w:r>
              <w:t>too long</w:t>
            </w:r>
            <w:r>
              <w:t>, considering the high volume of property transactions</w:t>
            </w:r>
            <w:r>
              <w:t xml:space="preserve"> that depend on conveyance documents</w:t>
            </w:r>
            <w:r>
              <w:t>.</w:t>
            </w:r>
            <w:r w:rsidRPr="00E713E5">
              <w:t xml:space="preserve"> </w:t>
            </w:r>
            <w:r>
              <w:t>C.S.</w:t>
            </w:r>
            <w:r w:rsidRPr="00E713E5">
              <w:t xml:space="preserve">H.B. 1176 seeks to alleviate this </w:t>
            </w:r>
            <w:r>
              <w:t>problem</w:t>
            </w:r>
            <w:r w:rsidRPr="00E713E5">
              <w:t xml:space="preserve"> </w:t>
            </w:r>
            <w:r w:rsidRPr="00E713E5">
              <w:t xml:space="preserve">by </w:t>
            </w:r>
            <w:r>
              <w:t>amending the law relating to te</w:t>
            </w:r>
            <w:r>
              <w:t>chnical defects in instruments affecting real property</w:t>
            </w:r>
            <w:r w:rsidRPr="00E713E5">
              <w:t xml:space="preserve">. </w:t>
            </w:r>
          </w:p>
          <w:p w:rsidR="008423E4" w:rsidRPr="00E26B13" w:rsidRDefault="00BE10B3" w:rsidP="0073079D">
            <w:pPr>
              <w:rPr>
                <w:b/>
              </w:rPr>
            </w:pPr>
          </w:p>
        </w:tc>
      </w:tr>
      <w:tr w:rsidR="006C6DD1" w:rsidTr="00345119">
        <w:tc>
          <w:tcPr>
            <w:tcW w:w="9576" w:type="dxa"/>
          </w:tcPr>
          <w:p w:rsidR="0017725B" w:rsidRDefault="00BE10B3" w:rsidP="007307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E10B3" w:rsidP="0073079D">
            <w:pPr>
              <w:rPr>
                <w:b/>
                <w:u w:val="single"/>
              </w:rPr>
            </w:pPr>
          </w:p>
          <w:p w:rsidR="00000DD1" w:rsidRPr="00000DD1" w:rsidRDefault="00BE10B3" w:rsidP="0073079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</w:t>
            </w:r>
            <w:r>
              <w:t xml:space="preserve"> or change the eligibility of a person for community supervision, parole, or mandatory supervision.</w:t>
            </w:r>
          </w:p>
          <w:p w:rsidR="0017725B" w:rsidRPr="0017725B" w:rsidRDefault="00BE10B3" w:rsidP="0073079D">
            <w:pPr>
              <w:rPr>
                <w:b/>
                <w:u w:val="single"/>
              </w:rPr>
            </w:pPr>
          </w:p>
        </w:tc>
      </w:tr>
      <w:tr w:rsidR="006C6DD1" w:rsidTr="00345119">
        <w:tc>
          <w:tcPr>
            <w:tcW w:w="9576" w:type="dxa"/>
          </w:tcPr>
          <w:p w:rsidR="008423E4" w:rsidRPr="00A8133F" w:rsidRDefault="00BE10B3" w:rsidP="0073079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E10B3" w:rsidP="0073079D"/>
          <w:p w:rsidR="00000DD1" w:rsidRDefault="00BE10B3" w:rsidP="007307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:rsidR="008423E4" w:rsidRPr="00E21FDC" w:rsidRDefault="00BE10B3" w:rsidP="0073079D">
            <w:pPr>
              <w:rPr>
                <w:b/>
              </w:rPr>
            </w:pPr>
          </w:p>
        </w:tc>
      </w:tr>
      <w:tr w:rsidR="006C6DD1" w:rsidTr="00345119">
        <w:tc>
          <w:tcPr>
            <w:tcW w:w="9576" w:type="dxa"/>
          </w:tcPr>
          <w:p w:rsidR="008423E4" w:rsidRPr="00A8133F" w:rsidRDefault="00BE10B3" w:rsidP="0073079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E10B3" w:rsidP="0073079D"/>
          <w:p w:rsidR="001A5BA5" w:rsidRDefault="00BE10B3" w:rsidP="007307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1176 amends the </w:t>
            </w:r>
            <w:r w:rsidRPr="00000DD1">
              <w:t>Civil Practice and Remedies Code</w:t>
            </w:r>
            <w:r>
              <w:t xml:space="preserve"> </w:t>
            </w:r>
            <w:r>
              <w:t xml:space="preserve">to </w:t>
            </w:r>
            <w:r>
              <w:t xml:space="preserve">change from two years to six months the </w:t>
            </w:r>
            <w:r>
              <w:t xml:space="preserve">minimum length of time </w:t>
            </w:r>
            <w:r>
              <w:t>a</w:t>
            </w:r>
            <w:r>
              <w:t xml:space="preserve">n </w:t>
            </w:r>
            <w:r w:rsidRPr="00B313C1">
              <w:t>instrument affecting real property</w:t>
            </w:r>
            <w:r>
              <w:t xml:space="preserve"> </w:t>
            </w:r>
            <w:r w:rsidRPr="003A1578">
              <w:t>containing a defect in, omission of, or infor</w:t>
            </w:r>
            <w:r w:rsidRPr="003A1578">
              <w:t>mality in the acknowledgment</w:t>
            </w:r>
            <w:r>
              <w:t xml:space="preserve"> </w:t>
            </w:r>
            <w:r>
              <w:t>must have been</w:t>
            </w:r>
            <w:r>
              <w:t xml:space="preserve"> filed for record in the office of the county recorder of the county in which the property is located </w:t>
            </w:r>
            <w:r>
              <w:t>before the instrument is</w:t>
            </w:r>
            <w:r>
              <w:t xml:space="preserve"> considered to have been lawfully recorded and to be notice of the </w:t>
            </w:r>
            <w:r w:rsidRPr="00627D01">
              <w:t>existence of the ins</w:t>
            </w:r>
            <w:r w:rsidRPr="00627D01">
              <w:t>trument on and after the date the instrument is filed.</w:t>
            </w:r>
            <w:r>
              <w:t xml:space="preserve"> </w:t>
            </w:r>
            <w:r>
              <w:t>The bill removes the specification that an applicable defect is a ministerial defect.</w:t>
            </w:r>
          </w:p>
          <w:p w:rsidR="001A5BA5" w:rsidRDefault="00BE10B3" w:rsidP="007307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1A5BA5" w:rsidRDefault="00BE10B3" w:rsidP="007307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1176 removes the following from the technical defects in an instrument to convey </w:t>
            </w:r>
            <w:r w:rsidRPr="00223D66">
              <w:t>real property or an inte</w:t>
            </w:r>
            <w:r w:rsidRPr="00223D66">
              <w:t>rest in real property</w:t>
            </w:r>
            <w:r>
              <w:t xml:space="preserve"> for which an action for the recovery of the property or property interest, as applicable, on the basis of such a defect is subject to a two-year limitations period:</w:t>
            </w:r>
          </w:p>
          <w:p w:rsidR="001A5BA5" w:rsidRDefault="00BE10B3" w:rsidP="0073079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EA113F">
              <w:t>acknowledgment of the instrument in an individual, rather than a repr</w:t>
            </w:r>
            <w:r w:rsidRPr="00EA113F">
              <w:t>esentative or official, capacity</w:t>
            </w:r>
            <w:r>
              <w:t>; and</w:t>
            </w:r>
            <w:r w:rsidRPr="00EA113F">
              <w:t xml:space="preserve">  </w:t>
            </w:r>
          </w:p>
          <w:p w:rsidR="008423E4" w:rsidRDefault="00BE10B3" w:rsidP="0073079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EA113F">
              <w:t>failure of the record or instrument to show an acknowledgment or jurat that complies with applicable law</w:t>
            </w:r>
            <w:r>
              <w:t>.</w:t>
            </w:r>
            <w:r w:rsidRPr="00223D66">
              <w:t xml:space="preserve"> </w:t>
            </w:r>
          </w:p>
          <w:p w:rsidR="005B0142" w:rsidRPr="00835628" w:rsidRDefault="00BE10B3" w:rsidP="007307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C6DD1" w:rsidTr="00345119">
        <w:tc>
          <w:tcPr>
            <w:tcW w:w="9576" w:type="dxa"/>
          </w:tcPr>
          <w:p w:rsidR="008423E4" w:rsidRPr="00A8133F" w:rsidRDefault="00BE10B3" w:rsidP="0073079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E10B3" w:rsidP="0073079D"/>
          <w:p w:rsidR="008423E4" w:rsidRDefault="00BE10B3" w:rsidP="007307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9C3F0A" w:rsidRPr="00233FDB" w:rsidRDefault="00BE10B3" w:rsidP="007307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C6DD1" w:rsidTr="00345119">
        <w:tc>
          <w:tcPr>
            <w:tcW w:w="9576" w:type="dxa"/>
          </w:tcPr>
          <w:p w:rsidR="00F92C93" w:rsidRDefault="00BE10B3" w:rsidP="0073079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627D01" w:rsidRPr="003E25D1" w:rsidRDefault="00BE10B3" w:rsidP="0073079D">
            <w:pPr>
              <w:jc w:val="both"/>
            </w:pPr>
          </w:p>
          <w:p w:rsidR="00627D01" w:rsidRDefault="00BE10B3" w:rsidP="0073079D">
            <w:pPr>
              <w:jc w:val="both"/>
            </w:pPr>
            <w:r>
              <w:t>While C.S.H.B. 1176 may differ</w:t>
            </w:r>
            <w:r>
              <w:t xml:space="preserve"> from the original in minor or nonsubstantive ways, the following summarizes the substantial differences between the introduced and committee substitute versions of the bill.</w:t>
            </w:r>
          </w:p>
          <w:p w:rsidR="00627D01" w:rsidRDefault="00BE10B3" w:rsidP="0073079D">
            <w:pPr>
              <w:jc w:val="both"/>
            </w:pPr>
          </w:p>
          <w:p w:rsidR="009C3F0A" w:rsidRDefault="00BE10B3" w:rsidP="0073079D">
            <w:pPr>
              <w:jc w:val="both"/>
            </w:pPr>
            <w:r>
              <w:t xml:space="preserve">The substitute does not include a change of the </w:t>
            </w:r>
            <w:r>
              <w:t xml:space="preserve">two-year </w:t>
            </w:r>
            <w:r>
              <w:t xml:space="preserve">limitations period for </w:t>
            </w:r>
            <w:r>
              <w:t xml:space="preserve">an action for the recovery of </w:t>
            </w:r>
            <w:r w:rsidRPr="00627D01">
              <w:t>real property or an interest in real property</w:t>
            </w:r>
            <w:r>
              <w:t xml:space="preserve"> conveyed by an instrument with </w:t>
            </w:r>
            <w:r>
              <w:t xml:space="preserve">specified </w:t>
            </w:r>
            <w:r>
              <w:t>technical defects</w:t>
            </w:r>
            <w:r>
              <w:t xml:space="preserve">. The substitute removes the following </w:t>
            </w:r>
            <w:r>
              <w:t xml:space="preserve">from </w:t>
            </w:r>
            <w:r>
              <w:t xml:space="preserve">among </w:t>
            </w:r>
            <w:r>
              <w:t>th</w:t>
            </w:r>
            <w:r>
              <w:t>ose</w:t>
            </w:r>
            <w:r>
              <w:t xml:space="preserve"> </w:t>
            </w:r>
            <w:r>
              <w:t>defects</w:t>
            </w:r>
            <w:r>
              <w:t>:</w:t>
            </w:r>
          </w:p>
          <w:p w:rsidR="009C3F0A" w:rsidRDefault="00BE10B3" w:rsidP="0073079D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  <w:r w:rsidRPr="00D55564">
              <w:t>acknowledgment of the instrument in an individual, rather</w:t>
            </w:r>
            <w:r w:rsidRPr="00D55564">
              <w:t xml:space="preserve"> than a representative or official, capacity</w:t>
            </w:r>
            <w:r>
              <w:t xml:space="preserve">; and </w:t>
            </w:r>
          </w:p>
          <w:p w:rsidR="0076581B" w:rsidRDefault="00BE10B3" w:rsidP="0073079D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  <w:r w:rsidRPr="00D55564">
              <w:t>failure of the record or instrument to show an acknowledgment or jurat that complies with applicable law</w:t>
            </w:r>
            <w:r>
              <w:t xml:space="preserve">. </w:t>
            </w:r>
          </w:p>
          <w:p w:rsidR="00627D01" w:rsidRPr="00627D01" w:rsidRDefault="00BE10B3" w:rsidP="0073079D">
            <w:pPr>
              <w:jc w:val="both"/>
            </w:pPr>
          </w:p>
        </w:tc>
      </w:tr>
      <w:tr w:rsidR="006C6DD1" w:rsidTr="00345119">
        <w:tc>
          <w:tcPr>
            <w:tcW w:w="9576" w:type="dxa"/>
          </w:tcPr>
          <w:p w:rsidR="00F92C93" w:rsidRPr="009C1E9A" w:rsidRDefault="00BE10B3" w:rsidP="0073079D">
            <w:pPr>
              <w:rPr>
                <w:b/>
                <w:u w:val="single"/>
              </w:rPr>
            </w:pPr>
          </w:p>
        </w:tc>
      </w:tr>
      <w:tr w:rsidR="006C6DD1" w:rsidTr="00345119">
        <w:tc>
          <w:tcPr>
            <w:tcW w:w="9576" w:type="dxa"/>
          </w:tcPr>
          <w:p w:rsidR="00F92C93" w:rsidRPr="00F92C93" w:rsidRDefault="00BE10B3" w:rsidP="0073079D">
            <w:pPr>
              <w:jc w:val="both"/>
            </w:pPr>
          </w:p>
        </w:tc>
      </w:tr>
    </w:tbl>
    <w:p w:rsidR="008423E4" w:rsidRPr="00BE0E75" w:rsidRDefault="00BE10B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E10B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10B3">
      <w:r>
        <w:separator/>
      </w:r>
    </w:p>
  </w:endnote>
  <w:endnote w:type="continuationSeparator" w:id="0">
    <w:p w:rsidR="00000000" w:rsidRDefault="00BE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E1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C6DD1" w:rsidTr="009C1E9A">
      <w:trPr>
        <w:cantSplit/>
      </w:trPr>
      <w:tc>
        <w:tcPr>
          <w:tcW w:w="0" w:type="pct"/>
        </w:tcPr>
        <w:p w:rsidR="00137D90" w:rsidRDefault="00BE10B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E10B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E10B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E10B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E10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C6DD1" w:rsidTr="009C1E9A">
      <w:trPr>
        <w:cantSplit/>
      </w:trPr>
      <w:tc>
        <w:tcPr>
          <w:tcW w:w="0" w:type="pct"/>
        </w:tcPr>
        <w:p w:rsidR="00EC379B" w:rsidRDefault="00BE10B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E10B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24362</w:t>
          </w:r>
        </w:p>
      </w:tc>
      <w:tc>
        <w:tcPr>
          <w:tcW w:w="2453" w:type="pct"/>
        </w:tcPr>
        <w:p w:rsidR="00EC379B" w:rsidRDefault="00BE10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19.94.161</w:t>
          </w:r>
          <w:r>
            <w:fldChar w:fldCharType="end"/>
          </w:r>
        </w:p>
      </w:tc>
    </w:tr>
    <w:tr w:rsidR="006C6DD1" w:rsidTr="009C1E9A">
      <w:trPr>
        <w:cantSplit/>
      </w:trPr>
      <w:tc>
        <w:tcPr>
          <w:tcW w:w="0" w:type="pct"/>
        </w:tcPr>
        <w:p w:rsidR="00EC379B" w:rsidRDefault="00BE10B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E10B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19913</w:t>
          </w:r>
        </w:p>
      </w:tc>
      <w:tc>
        <w:tcPr>
          <w:tcW w:w="2453" w:type="pct"/>
        </w:tcPr>
        <w:p w:rsidR="00EC379B" w:rsidRDefault="00BE10B3" w:rsidP="006D504F">
          <w:pPr>
            <w:pStyle w:val="Footer"/>
            <w:rPr>
              <w:rStyle w:val="PageNumber"/>
            </w:rPr>
          </w:pPr>
        </w:p>
        <w:p w:rsidR="00EC379B" w:rsidRDefault="00BE10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C6DD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E10B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BE10B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E10B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E1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E10B3">
      <w:r>
        <w:separator/>
      </w:r>
    </w:p>
  </w:footnote>
  <w:footnote w:type="continuationSeparator" w:id="0">
    <w:p w:rsidR="00000000" w:rsidRDefault="00BE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E1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E1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E1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E46AB"/>
    <w:multiLevelType w:val="hybridMultilevel"/>
    <w:tmpl w:val="B6324786"/>
    <w:lvl w:ilvl="0" w:tplc="63009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89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44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EF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A2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28C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08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29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2D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03C3B"/>
    <w:multiLevelType w:val="hybridMultilevel"/>
    <w:tmpl w:val="A5C62F70"/>
    <w:lvl w:ilvl="0" w:tplc="021AF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2A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A9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45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AC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E8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24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A2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67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D1"/>
    <w:rsid w:val="006C6DD1"/>
    <w:rsid w:val="00B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5F0B72-99B7-4F24-930F-C15E954B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27E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7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7E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7EDD"/>
    <w:rPr>
      <w:b/>
      <w:bCs/>
    </w:rPr>
  </w:style>
  <w:style w:type="paragraph" w:styleId="ListParagraph">
    <w:name w:val="List Paragraph"/>
    <w:basedOn w:val="Normal"/>
    <w:uiPriority w:val="34"/>
    <w:qFormat/>
    <w:rsid w:val="009C3F0A"/>
    <w:pPr>
      <w:ind w:left="720"/>
      <w:contextualSpacing/>
    </w:pPr>
  </w:style>
  <w:style w:type="paragraph" w:styleId="Revision">
    <w:name w:val="Revision"/>
    <w:hidden/>
    <w:uiPriority w:val="99"/>
    <w:semiHidden/>
    <w:rsid w:val="00853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2459</Characters>
  <Application>Microsoft Office Word</Application>
  <DocSecurity>4</DocSecurity>
  <Lines>70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HB01176 (Committee Report (Substituted))</vt:lpstr>
    </vt:vector>
  </TitlesOfParts>
  <Company>State of Texas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24362</dc:subject>
  <dc:creator>State of Texas</dc:creator>
  <dc:description>HB 1176 by Darby-(H)Judiciary &amp; Civil Jurisprudence (Substitute Document Number: 86R 19913)</dc:description>
  <cp:lastModifiedBy>Stacey Nicchio</cp:lastModifiedBy>
  <cp:revision>2</cp:revision>
  <cp:lastPrinted>2003-11-26T17:21:00Z</cp:lastPrinted>
  <dcterms:created xsi:type="dcterms:W3CDTF">2019-04-16T20:59:00Z</dcterms:created>
  <dcterms:modified xsi:type="dcterms:W3CDTF">2019-04-16T20:59:00Z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19.94.161</vt:lpwstr>
  </property>
</Properties>
</file>