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20CD" w:rsidTr="00345119">
        <w:tc>
          <w:tcPr>
            <w:tcW w:w="9576" w:type="dxa"/>
            <w:noWrap/>
          </w:tcPr>
          <w:p w:rsidR="008423E4" w:rsidRPr="0022177D" w:rsidRDefault="00CF59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59BE" w:rsidP="008423E4">
      <w:pPr>
        <w:jc w:val="center"/>
      </w:pPr>
    </w:p>
    <w:p w:rsidR="008423E4" w:rsidRPr="00B31F0E" w:rsidRDefault="00CF59BE" w:rsidP="008423E4"/>
    <w:p w:rsidR="008423E4" w:rsidRPr="00742794" w:rsidRDefault="00CF59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0CD" w:rsidTr="00345119">
        <w:tc>
          <w:tcPr>
            <w:tcW w:w="9576" w:type="dxa"/>
          </w:tcPr>
          <w:p w:rsidR="008423E4" w:rsidRPr="00861995" w:rsidRDefault="00CF59BE" w:rsidP="00345119">
            <w:pPr>
              <w:jc w:val="right"/>
            </w:pPr>
            <w:r>
              <w:t>H.B. 1177</w:t>
            </w:r>
          </w:p>
        </w:tc>
      </w:tr>
      <w:tr w:rsidR="00F820CD" w:rsidTr="00345119">
        <w:tc>
          <w:tcPr>
            <w:tcW w:w="9576" w:type="dxa"/>
          </w:tcPr>
          <w:p w:rsidR="008423E4" w:rsidRPr="00861995" w:rsidRDefault="00CF59BE" w:rsidP="00522105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F820CD" w:rsidTr="00345119">
        <w:tc>
          <w:tcPr>
            <w:tcW w:w="9576" w:type="dxa"/>
          </w:tcPr>
          <w:p w:rsidR="008423E4" w:rsidRPr="00861995" w:rsidRDefault="00CF59BE" w:rsidP="00345119">
            <w:pPr>
              <w:jc w:val="right"/>
            </w:pPr>
            <w:r>
              <w:t>Homeland Security &amp; Public Safety</w:t>
            </w:r>
          </w:p>
        </w:tc>
      </w:tr>
      <w:tr w:rsidR="00F820CD" w:rsidTr="00345119">
        <w:tc>
          <w:tcPr>
            <w:tcW w:w="9576" w:type="dxa"/>
          </w:tcPr>
          <w:p w:rsidR="008423E4" w:rsidRDefault="00CF59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59BE" w:rsidP="008423E4">
      <w:pPr>
        <w:tabs>
          <w:tab w:val="right" w:pos="9360"/>
        </w:tabs>
      </w:pPr>
    </w:p>
    <w:p w:rsidR="008423E4" w:rsidRDefault="00CF59BE" w:rsidP="008423E4"/>
    <w:p w:rsidR="008423E4" w:rsidRDefault="00CF59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20CD" w:rsidTr="00345119">
        <w:tc>
          <w:tcPr>
            <w:tcW w:w="9576" w:type="dxa"/>
          </w:tcPr>
          <w:p w:rsidR="008423E4" w:rsidRPr="00A8133F" w:rsidRDefault="00CF59BE" w:rsidP="00B94D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59BE" w:rsidP="00B94D63"/>
          <w:p w:rsidR="008423E4" w:rsidRDefault="00CF59BE" w:rsidP="00B94D63">
            <w:pPr>
              <w:pStyle w:val="Header"/>
              <w:jc w:val="both"/>
            </w:pPr>
            <w:r>
              <w:t>It has been suggested that</w:t>
            </w:r>
            <w:r>
              <w:t xml:space="preserve"> </w:t>
            </w:r>
            <w:r>
              <w:t>handgun license holders</w:t>
            </w:r>
            <w:r>
              <w:t xml:space="preserve"> and other </w:t>
            </w:r>
            <w:r>
              <w:t>Texans</w:t>
            </w:r>
            <w:r>
              <w:t xml:space="preserve"> </w:t>
            </w:r>
            <w:r>
              <w:t xml:space="preserve">who are not prohibited by law from possessing a </w:t>
            </w:r>
            <w:r>
              <w:t>firearm</w:t>
            </w:r>
            <w:r>
              <w:t xml:space="preserve"> should be </w:t>
            </w:r>
            <w:r>
              <w:t xml:space="preserve">allowed </w:t>
            </w:r>
            <w:r>
              <w:t xml:space="preserve">to legally </w:t>
            </w:r>
            <w:r>
              <w:t xml:space="preserve">carry and transport </w:t>
            </w:r>
            <w:r>
              <w:t xml:space="preserve">their </w:t>
            </w:r>
            <w:r>
              <w:t>handguns</w:t>
            </w:r>
            <w:r>
              <w:t xml:space="preserve"> in the case of a mandatory emergency evacuation</w:t>
            </w:r>
            <w:r>
              <w:t xml:space="preserve">. </w:t>
            </w:r>
            <w:r>
              <w:t xml:space="preserve">H.B. 1177 </w:t>
            </w:r>
            <w:r>
              <w:t xml:space="preserve">seeks to address this </w:t>
            </w:r>
            <w:r>
              <w:t xml:space="preserve">issue </w:t>
            </w:r>
            <w:r>
              <w:t xml:space="preserve">by exempting </w:t>
            </w:r>
            <w:r>
              <w:t>these persons</w:t>
            </w:r>
            <w:r>
              <w:t xml:space="preserve"> from the application of </w:t>
            </w:r>
            <w:r>
              <w:t xml:space="preserve">various </w:t>
            </w:r>
            <w:r>
              <w:t>unlawful carrying of weapons</w:t>
            </w:r>
            <w:r>
              <w:t xml:space="preserve"> and handg</w:t>
            </w:r>
            <w:r>
              <w:t>un</w:t>
            </w:r>
            <w:r>
              <w:t xml:space="preserve"> offense</w:t>
            </w:r>
            <w:r>
              <w:t>s</w:t>
            </w:r>
            <w:r>
              <w:t xml:space="preserve"> under certain circumstances </w:t>
            </w:r>
            <w:r>
              <w:t>surrounding</w:t>
            </w:r>
            <w:r>
              <w:t xml:space="preserve"> a</w:t>
            </w:r>
            <w:r>
              <w:t xml:space="preserve"> declared</w:t>
            </w:r>
            <w:r>
              <w:t xml:space="preserve"> state of disaster or local state of disaster.</w:t>
            </w:r>
            <w:r>
              <w:t xml:space="preserve"> </w:t>
            </w:r>
          </w:p>
          <w:p w:rsidR="008423E4" w:rsidRPr="00E26B13" w:rsidRDefault="00CF59BE" w:rsidP="00B94D63">
            <w:pPr>
              <w:rPr>
                <w:b/>
              </w:rPr>
            </w:pPr>
          </w:p>
        </w:tc>
      </w:tr>
      <w:tr w:rsidR="00F820CD" w:rsidTr="00345119">
        <w:tc>
          <w:tcPr>
            <w:tcW w:w="9576" w:type="dxa"/>
          </w:tcPr>
          <w:p w:rsidR="0017725B" w:rsidRDefault="00CF59BE" w:rsidP="00B94D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59BE" w:rsidP="00B94D63">
            <w:pPr>
              <w:rPr>
                <w:b/>
                <w:u w:val="single"/>
              </w:rPr>
            </w:pPr>
          </w:p>
          <w:p w:rsidR="00D90C9B" w:rsidRPr="00D90C9B" w:rsidRDefault="00CF59BE" w:rsidP="00B94D63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CF59BE" w:rsidP="00B94D63">
            <w:pPr>
              <w:rPr>
                <w:b/>
                <w:u w:val="single"/>
              </w:rPr>
            </w:pPr>
          </w:p>
        </w:tc>
      </w:tr>
      <w:tr w:rsidR="00F820CD" w:rsidTr="00345119">
        <w:tc>
          <w:tcPr>
            <w:tcW w:w="9576" w:type="dxa"/>
          </w:tcPr>
          <w:p w:rsidR="008423E4" w:rsidRPr="00A8133F" w:rsidRDefault="00CF59BE" w:rsidP="00B94D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59BE" w:rsidP="00B94D63"/>
          <w:p w:rsidR="00D90C9B" w:rsidRDefault="00CF59BE" w:rsidP="00B94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F59BE" w:rsidP="00B94D63">
            <w:pPr>
              <w:rPr>
                <w:b/>
              </w:rPr>
            </w:pPr>
          </w:p>
        </w:tc>
      </w:tr>
      <w:tr w:rsidR="00F820CD" w:rsidTr="00345119">
        <w:tc>
          <w:tcPr>
            <w:tcW w:w="9576" w:type="dxa"/>
          </w:tcPr>
          <w:p w:rsidR="008423E4" w:rsidRPr="00A8133F" w:rsidRDefault="00CF59BE" w:rsidP="00B94D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59BE" w:rsidP="00B94D63"/>
          <w:p w:rsidR="007B2CB3" w:rsidRDefault="00CF59BE" w:rsidP="00B94D63">
            <w:pPr>
              <w:pStyle w:val="Header"/>
              <w:jc w:val="both"/>
            </w:pPr>
            <w:r>
              <w:t xml:space="preserve">H.B. 1177 amends the Penal Code to exempt a person from </w:t>
            </w:r>
            <w:r>
              <w:t xml:space="preserve">the application of </w:t>
            </w:r>
            <w:r>
              <w:t xml:space="preserve">the offense of </w:t>
            </w:r>
            <w:r>
              <w:t>unlawful carrying of weapons if</w:t>
            </w:r>
            <w:r>
              <w:t>:</w:t>
            </w:r>
          </w:p>
          <w:p w:rsidR="007B2CB3" w:rsidRDefault="00CF59BE" w:rsidP="00B94D6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person carries </w:t>
            </w:r>
            <w:r>
              <w:t xml:space="preserve">a </w:t>
            </w:r>
            <w:r>
              <w:t>handgun whi</w:t>
            </w:r>
            <w:r>
              <w:t>le evacuating from an area subject to a mandatory evacuation order issued during a state of disaster or a local state of disaster or while reentering that area following the person's evacuation;</w:t>
            </w:r>
          </w:p>
          <w:p w:rsidR="007B2CB3" w:rsidRDefault="00CF59BE" w:rsidP="00B94D6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not more than 168 hours have elapsed since the evacuation was</w:t>
            </w:r>
            <w:r>
              <w:t xml:space="preserve"> ordered or more than 168 hours have elapsed since the evacuation order was issued and the governor has extended the period during which a person may carry a handgun; and </w:t>
            </w:r>
          </w:p>
          <w:p w:rsidR="007B2CB3" w:rsidRDefault="00CF59BE" w:rsidP="00B94D63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person is not prohibited by state or federal law from possessing a firearm. </w:t>
            </w:r>
          </w:p>
          <w:p w:rsidR="007B2CB3" w:rsidRDefault="00CF59BE" w:rsidP="00B94D63">
            <w:pPr>
              <w:pStyle w:val="Header"/>
              <w:jc w:val="both"/>
            </w:pPr>
            <w:r>
              <w:t>The</w:t>
            </w:r>
            <w:r>
              <w:t xml:space="preserve"> bill exempts a person from </w:t>
            </w:r>
            <w:r>
              <w:t xml:space="preserve">the application of </w:t>
            </w:r>
            <w:r w:rsidRPr="00D90C9B">
              <w:t>the offense</w:t>
            </w:r>
            <w:r>
              <w:t>s</w:t>
            </w:r>
            <w:r w:rsidRPr="00D90C9B">
              <w:t xml:space="preserve"> of unlawful carrying of weapons</w:t>
            </w:r>
            <w:r>
              <w:t xml:space="preserve"> and</w:t>
            </w:r>
            <w:r>
              <w:t xml:space="preserve"> </w:t>
            </w:r>
            <w:r>
              <w:t xml:space="preserve">unlawful carrying of a handgun by a handgun license holder and </w:t>
            </w:r>
            <w:r>
              <w:t>of the</w:t>
            </w:r>
            <w:r>
              <w:t xml:space="preserve"> offense involving </w:t>
            </w:r>
            <w:r>
              <w:t>unlawfully</w:t>
            </w:r>
            <w:r>
              <w:t xml:space="preserve"> </w:t>
            </w:r>
            <w:r>
              <w:t xml:space="preserve">possessing </w:t>
            </w:r>
            <w:r>
              <w:t xml:space="preserve">or going with a </w:t>
            </w:r>
            <w:r>
              <w:t>firearm</w:t>
            </w:r>
            <w:r>
              <w:t xml:space="preserve"> on certain premises</w:t>
            </w:r>
            <w:r>
              <w:t xml:space="preserve"> </w:t>
            </w:r>
            <w:r>
              <w:t>if:</w:t>
            </w:r>
          </w:p>
          <w:p w:rsidR="007B2CB3" w:rsidRDefault="00CF59BE" w:rsidP="00B94D6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</w:t>
            </w:r>
            <w:r>
              <w:t xml:space="preserve">e person carries </w:t>
            </w:r>
            <w:r>
              <w:t>a</w:t>
            </w:r>
            <w:r>
              <w:t xml:space="preserve"> handgun on the premises, as defined by the statute providing the applicable offense, of a location operating as an emergency shelter during a state of disaster or a local s</w:t>
            </w:r>
            <w:r>
              <w:t>tate of disaster</w:t>
            </w:r>
            <w:r>
              <w:t>;</w:t>
            </w:r>
          </w:p>
          <w:p w:rsidR="007B2CB3" w:rsidRDefault="00CF59BE" w:rsidP="00B94D6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owner, controller, or operator of the premi</w:t>
            </w:r>
            <w:r>
              <w:t>ses or a person acting with the apparent authority of the owner, controller, or operator authorized the carrying of the handgun; and</w:t>
            </w:r>
            <w:r>
              <w:t xml:space="preserve"> </w:t>
            </w:r>
          </w:p>
          <w:p w:rsidR="008423E4" w:rsidRDefault="00CF59BE" w:rsidP="00B94D63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person is not prohibited by state or federal law from possessing a firearm.</w:t>
            </w:r>
            <w:r>
              <w:t xml:space="preserve">  </w:t>
            </w:r>
          </w:p>
          <w:p w:rsidR="008423E4" w:rsidRPr="00835628" w:rsidRDefault="00CF59BE" w:rsidP="00B94D63">
            <w:pPr>
              <w:rPr>
                <w:b/>
              </w:rPr>
            </w:pPr>
          </w:p>
        </w:tc>
      </w:tr>
      <w:tr w:rsidR="00F820CD" w:rsidTr="00345119">
        <w:tc>
          <w:tcPr>
            <w:tcW w:w="9576" w:type="dxa"/>
          </w:tcPr>
          <w:p w:rsidR="008423E4" w:rsidRPr="00A8133F" w:rsidRDefault="00CF59BE" w:rsidP="00B94D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59BE" w:rsidP="00B94D63"/>
          <w:p w:rsidR="008423E4" w:rsidRPr="003624F2" w:rsidRDefault="00CF59BE" w:rsidP="00B94D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90C9B">
              <w:t>September 1, 2019.</w:t>
            </w:r>
          </w:p>
          <w:p w:rsidR="008423E4" w:rsidRPr="00233FDB" w:rsidRDefault="00CF59BE" w:rsidP="00B94D63">
            <w:pPr>
              <w:rPr>
                <w:b/>
              </w:rPr>
            </w:pPr>
          </w:p>
        </w:tc>
      </w:tr>
    </w:tbl>
    <w:p w:rsidR="008423E4" w:rsidRPr="00BE0E75" w:rsidRDefault="00CF59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59B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59BE">
      <w:r>
        <w:separator/>
      </w:r>
    </w:p>
  </w:endnote>
  <w:endnote w:type="continuationSeparator" w:id="0">
    <w:p w:rsidR="00000000" w:rsidRDefault="00CF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0CD" w:rsidTr="009C1E9A">
      <w:trPr>
        <w:cantSplit/>
      </w:trPr>
      <w:tc>
        <w:tcPr>
          <w:tcW w:w="0" w:type="pct"/>
        </w:tcPr>
        <w:p w:rsidR="00137D90" w:rsidRDefault="00CF59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59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59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59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59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0CD" w:rsidTr="009C1E9A">
      <w:trPr>
        <w:cantSplit/>
      </w:trPr>
      <w:tc>
        <w:tcPr>
          <w:tcW w:w="0" w:type="pct"/>
        </w:tcPr>
        <w:p w:rsidR="00EC379B" w:rsidRDefault="00CF59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59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16406</w:t>
          </w:r>
        </w:p>
      </w:tc>
      <w:tc>
        <w:tcPr>
          <w:tcW w:w="2453" w:type="pct"/>
        </w:tcPr>
        <w:p w:rsidR="00EC379B" w:rsidRDefault="00CF59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19.61.4</w:t>
          </w:r>
          <w:r>
            <w:fldChar w:fldCharType="end"/>
          </w:r>
        </w:p>
      </w:tc>
    </w:tr>
    <w:tr w:rsidR="00F820CD" w:rsidTr="009C1E9A">
      <w:trPr>
        <w:cantSplit/>
      </w:trPr>
      <w:tc>
        <w:tcPr>
          <w:tcW w:w="0" w:type="pct"/>
        </w:tcPr>
        <w:p w:rsidR="00EC379B" w:rsidRDefault="00CF59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59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59BE" w:rsidP="006D504F">
          <w:pPr>
            <w:pStyle w:val="Footer"/>
            <w:rPr>
              <w:rStyle w:val="PageNumber"/>
            </w:rPr>
          </w:pPr>
        </w:p>
        <w:p w:rsidR="00EC379B" w:rsidRDefault="00CF59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0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59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F59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59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59BE">
      <w:r>
        <w:separator/>
      </w:r>
    </w:p>
  </w:footnote>
  <w:footnote w:type="continuationSeparator" w:id="0">
    <w:p w:rsidR="00000000" w:rsidRDefault="00CF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5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5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5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98"/>
    <w:multiLevelType w:val="hybridMultilevel"/>
    <w:tmpl w:val="E86057EA"/>
    <w:lvl w:ilvl="0" w:tplc="FB86F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01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EF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0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AD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6B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8E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AE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E3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0D5"/>
    <w:multiLevelType w:val="hybridMultilevel"/>
    <w:tmpl w:val="D5164234"/>
    <w:lvl w:ilvl="0" w:tplc="C9346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8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0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05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C7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07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6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4D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61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5AF"/>
    <w:multiLevelType w:val="hybridMultilevel"/>
    <w:tmpl w:val="5E987FFA"/>
    <w:lvl w:ilvl="0" w:tplc="B7EEC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60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6D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C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F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CA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6D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CF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A6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D"/>
    <w:rsid w:val="00CF59BE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14AE3-3894-4958-BF01-EB74172F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2E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E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E0B"/>
    <w:rPr>
      <w:b/>
      <w:bCs/>
    </w:rPr>
  </w:style>
  <w:style w:type="character" w:styleId="Hyperlink">
    <w:name w:val="Hyperlink"/>
    <w:basedOn w:val="DefaultParagraphFont"/>
    <w:unhideWhenUsed/>
    <w:rsid w:val="0085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2115</Characters>
  <Application>Microsoft Office Word</Application>
  <DocSecurity>4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HB01177 (Committee Report (Unamended))</vt:lpstr>
    </vt:vector>
  </TitlesOfParts>
  <Company>State of Texas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16406</dc:subject>
  <dc:creator>State of Texas</dc:creator>
  <dc:description>HB 1177 by Phelan-(H)Homeland Security &amp; Public Safety</dc:description>
  <cp:lastModifiedBy>Scotty Wimberley</cp:lastModifiedBy>
  <cp:revision>2</cp:revision>
  <cp:lastPrinted>2003-11-26T17:21:00Z</cp:lastPrinted>
  <dcterms:created xsi:type="dcterms:W3CDTF">2019-04-04T23:06:00Z</dcterms:created>
  <dcterms:modified xsi:type="dcterms:W3CDTF">2019-04-04T23:06:00Z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19.61.4</vt:lpwstr>
  </property>
</Properties>
</file>