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80" w:rsidRDefault="00405168">
      <w:bookmarkStart w:id="0" w:name="_GoBack"/>
      <w:bookmarkEnd w:id="0"/>
    </w:p>
    <w:p w:rsidR="00617780" w:rsidRDefault="00405168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1144" w:rsidTr="00345119">
        <w:tc>
          <w:tcPr>
            <w:tcW w:w="9576" w:type="dxa"/>
            <w:noWrap/>
          </w:tcPr>
          <w:p w:rsidR="008423E4" w:rsidRPr="0022177D" w:rsidRDefault="00405168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405168" w:rsidP="008423E4">
      <w:pPr>
        <w:jc w:val="center"/>
      </w:pPr>
    </w:p>
    <w:p w:rsidR="008423E4" w:rsidRPr="00B31F0E" w:rsidRDefault="00405168" w:rsidP="008423E4"/>
    <w:p w:rsidR="008423E4" w:rsidRPr="00742794" w:rsidRDefault="004051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1144" w:rsidTr="00345119">
        <w:tc>
          <w:tcPr>
            <w:tcW w:w="9576" w:type="dxa"/>
          </w:tcPr>
          <w:p w:rsidR="008423E4" w:rsidRPr="00861995" w:rsidRDefault="00405168" w:rsidP="00345119">
            <w:pPr>
              <w:jc w:val="right"/>
            </w:pPr>
            <w:r>
              <w:t>H.B. 1188</w:t>
            </w:r>
          </w:p>
        </w:tc>
      </w:tr>
      <w:tr w:rsidR="00B31144" w:rsidTr="00345119">
        <w:tc>
          <w:tcPr>
            <w:tcW w:w="9576" w:type="dxa"/>
          </w:tcPr>
          <w:p w:rsidR="008423E4" w:rsidRPr="00861995" w:rsidRDefault="00405168" w:rsidP="006774EE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B31144" w:rsidTr="00345119">
        <w:tc>
          <w:tcPr>
            <w:tcW w:w="9576" w:type="dxa"/>
          </w:tcPr>
          <w:p w:rsidR="008423E4" w:rsidRPr="00861995" w:rsidRDefault="00405168" w:rsidP="00345119">
            <w:pPr>
              <w:jc w:val="right"/>
            </w:pPr>
            <w:r>
              <w:t>Ways &amp; Means</w:t>
            </w:r>
          </w:p>
        </w:tc>
      </w:tr>
      <w:tr w:rsidR="00B31144" w:rsidTr="00345119">
        <w:tc>
          <w:tcPr>
            <w:tcW w:w="9576" w:type="dxa"/>
          </w:tcPr>
          <w:p w:rsidR="008423E4" w:rsidRDefault="0040516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05168" w:rsidP="008423E4">
      <w:pPr>
        <w:tabs>
          <w:tab w:val="right" w:pos="9360"/>
        </w:tabs>
      </w:pPr>
    </w:p>
    <w:p w:rsidR="008423E4" w:rsidRDefault="00405168" w:rsidP="008423E4"/>
    <w:p w:rsidR="008423E4" w:rsidRDefault="00405168" w:rsidP="008423E4"/>
    <w:tbl>
      <w:tblPr>
        <w:tblW w:w="965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55"/>
      </w:tblGrid>
      <w:tr w:rsidR="00B31144" w:rsidTr="005B6800">
        <w:tc>
          <w:tcPr>
            <w:tcW w:w="9655" w:type="dxa"/>
          </w:tcPr>
          <w:p w:rsidR="008423E4" w:rsidRPr="00A8133F" w:rsidRDefault="00405168" w:rsidP="00E372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5168" w:rsidP="00E37235"/>
          <w:p w:rsidR="008423E4" w:rsidRDefault="00405168" w:rsidP="00E37235">
            <w:pPr>
              <w:pStyle w:val="Header"/>
              <w:jc w:val="both"/>
            </w:pPr>
            <w:r>
              <w:t xml:space="preserve">Concerns have been raised over </w:t>
            </w:r>
            <w:r>
              <w:t xml:space="preserve">the </w:t>
            </w:r>
            <w:r>
              <w:t xml:space="preserve">impact of </w:t>
            </w:r>
            <w:r>
              <w:t xml:space="preserve">the recent rise of property values in Texas. Furthermore, it has been suggested that property appraised as open-space land may be vulnerable to these rising values when the ownership of the land is transferred within a family.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1188 seeks to ease the b</w:t>
            </w:r>
            <w:r>
              <w:t xml:space="preserve">urden of families who wish to transfer open-space land between family members </w:t>
            </w:r>
            <w:r>
              <w:t xml:space="preserve">and </w:t>
            </w:r>
            <w:r>
              <w:t>pr</w:t>
            </w:r>
            <w:r>
              <w:t>event</w:t>
            </w:r>
            <w:r>
              <w:t xml:space="preserve"> </w:t>
            </w:r>
            <w:r>
              <w:t>the</w:t>
            </w:r>
            <w:r>
              <w:t xml:space="preserve">se </w:t>
            </w:r>
            <w:r>
              <w:t xml:space="preserve">property </w:t>
            </w:r>
            <w:r>
              <w:t>owners</w:t>
            </w:r>
            <w:r>
              <w:t xml:space="preserve"> from </w:t>
            </w:r>
            <w:r>
              <w:t xml:space="preserve">having to file </w:t>
            </w:r>
            <w:r>
              <w:t>a</w:t>
            </w:r>
            <w:r>
              <w:t xml:space="preserve"> new</w:t>
            </w:r>
            <w:r>
              <w:t xml:space="preserve"> </w:t>
            </w:r>
            <w:r>
              <w:t xml:space="preserve">application for open-space </w:t>
            </w:r>
            <w:r>
              <w:t xml:space="preserve">land </w:t>
            </w:r>
            <w:r>
              <w:t>appraisal</w:t>
            </w:r>
            <w:r>
              <w:t xml:space="preserve"> of the property</w:t>
            </w:r>
            <w:r>
              <w:t xml:space="preserve">.     </w:t>
            </w:r>
          </w:p>
          <w:p w:rsidR="008423E4" w:rsidRPr="00E26B13" w:rsidRDefault="00405168" w:rsidP="00E37235">
            <w:pPr>
              <w:rPr>
                <w:b/>
              </w:rPr>
            </w:pPr>
          </w:p>
        </w:tc>
      </w:tr>
      <w:tr w:rsidR="00B31144" w:rsidTr="005B6800">
        <w:tc>
          <w:tcPr>
            <w:tcW w:w="9655" w:type="dxa"/>
          </w:tcPr>
          <w:p w:rsidR="0017725B" w:rsidRDefault="00405168" w:rsidP="00E372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5168" w:rsidP="00E37235">
            <w:pPr>
              <w:rPr>
                <w:b/>
                <w:u w:val="single"/>
              </w:rPr>
            </w:pPr>
          </w:p>
          <w:p w:rsidR="00AE5F17" w:rsidRPr="00AE5F17" w:rsidRDefault="00405168" w:rsidP="00E37235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05168" w:rsidP="00E37235">
            <w:pPr>
              <w:rPr>
                <w:b/>
                <w:u w:val="single"/>
              </w:rPr>
            </w:pPr>
          </w:p>
        </w:tc>
      </w:tr>
      <w:tr w:rsidR="00B31144" w:rsidTr="005B6800">
        <w:tc>
          <w:tcPr>
            <w:tcW w:w="9655" w:type="dxa"/>
          </w:tcPr>
          <w:p w:rsidR="008423E4" w:rsidRPr="00A8133F" w:rsidRDefault="00405168" w:rsidP="00E372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405168" w:rsidP="00E37235"/>
          <w:p w:rsidR="00AE5F17" w:rsidRDefault="00405168" w:rsidP="00E372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05168" w:rsidP="00E37235">
            <w:pPr>
              <w:rPr>
                <w:b/>
              </w:rPr>
            </w:pPr>
          </w:p>
        </w:tc>
      </w:tr>
      <w:tr w:rsidR="00B31144" w:rsidTr="005B6800">
        <w:tc>
          <w:tcPr>
            <w:tcW w:w="9655" w:type="dxa"/>
          </w:tcPr>
          <w:p w:rsidR="008423E4" w:rsidRPr="00A8133F" w:rsidRDefault="00405168" w:rsidP="00E372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5168" w:rsidP="00E37235"/>
          <w:p w:rsidR="00EE4ED7" w:rsidRDefault="00405168" w:rsidP="00E37235">
            <w:pPr>
              <w:pStyle w:val="Header"/>
              <w:jc w:val="both"/>
            </w:pPr>
            <w:r>
              <w:t xml:space="preserve">H.B. 1188 </w:t>
            </w:r>
            <w:r>
              <w:t xml:space="preserve">amends the Tax Code to </w:t>
            </w:r>
            <w:r>
              <w:t xml:space="preserve">establish that </w:t>
            </w:r>
            <w:r w:rsidRPr="0022145C">
              <w:t>land remains e</w:t>
            </w:r>
            <w:r w:rsidRPr="0022145C">
              <w:t xml:space="preserve">ligible for appraisal </w:t>
            </w:r>
            <w:r>
              <w:t>as open</w:t>
            </w:r>
            <w:r>
              <w:noBreakHyphen/>
            </w:r>
            <w:r>
              <w:t>space land</w:t>
            </w:r>
            <w:r w:rsidRPr="0022145C">
              <w:t xml:space="preserve"> after a change in ownership if the change results from a transfer of the land from the former owner to a person who is related to t</w:t>
            </w:r>
            <w:r>
              <w:t>hat</w:t>
            </w:r>
            <w:r w:rsidRPr="0022145C">
              <w:t xml:space="preserve"> owner within the second degree by affinity or third degree by consanguinit</w:t>
            </w:r>
            <w:r>
              <w:t>y</w:t>
            </w:r>
            <w:r w:rsidRPr="0022145C">
              <w:t xml:space="preserve">. </w:t>
            </w:r>
            <w:r>
              <w:t>The</w:t>
            </w:r>
            <w:r>
              <w:t xml:space="preserve"> bill requires the new owner</w:t>
            </w:r>
            <w:r w:rsidRPr="0022145C">
              <w:t xml:space="preserve"> </w:t>
            </w:r>
            <w:r>
              <w:t xml:space="preserve">to </w:t>
            </w:r>
            <w:r w:rsidRPr="0022145C">
              <w:t>notify the appraisal office of the transfer in writing within 180 days of the transfer date.</w:t>
            </w:r>
            <w:r>
              <w:t xml:space="preserve"> The bill </w:t>
            </w:r>
            <w:r>
              <w:t>authorize</w:t>
            </w:r>
            <w:r>
              <w:t>s</w:t>
            </w:r>
            <w:r>
              <w:t xml:space="preserve"> the appraisal review board of an appraisal district, on the chief appraiser</w:t>
            </w:r>
            <w:r>
              <w:t>'s</w:t>
            </w:r>
            <w:r>
              <w:t xml:space="preserve"> or property owner</w:t>
            </w:r>
            <w:r>
              <w:t>'s motion</w:t>
            </w:r>
            <w:r>
              <w:t>, to di</w:t>
            </w:r>
            <w:r>
              <w:t xml:space="preserve">rect by written order changes in the appraisal roll </w:t>
            </w:r>
            <w:r>
              <w:t xml:space="preserve">by </w:t>
            </w:r>
            <w:r>
              <w:t>order</w:t>
            </w:r>
            <w:r>
              <w:t>ing</w:t>
            </w:r>
            <w:r>
              <w:t xml:space="preserve"> the appraised value of the owner's land in either of the two preceding tax years to be changed to the value at which the land would have been</w:t>
            </w:r>
            <w:r>
              <w:t xml:space="preserve"> appraised as open-space land </w:t>
            </w:r>
            <w:r>
              <w:t>if:</w:t>
            </w:r>
            <w:r>
              <w:t xml:space="preserve"> </w:t>
            </w:r>
          </w:p>
          <w:p w:rsidR="00EE4ED7" w:rsidRDefault="00405168" w:rsidP="00E3723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chief apprai</w:t>
            </w:r>
            <w:r>
              <w:t xml:space="preserve">ser or the property owner demonstrates by clear and convincing evidence that the land was appraised </w:t>
            </w:r>
            <w:r>
              <w:t xml:space="preserve">as open-space land </w:t>
            </w:r>
            <w:r>
              <w:t>for three of the five preceding tax years;</w:t>
            </w:r>
          </w:p>
          <w:p w:rsidR="00EE4ED7" w:rsidRDefault="00405168" w:rsidP="00E3723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land was determined to be ineligible for appraisal </w:t>
            </w:r>
            <w:r>
              <w:t xml:space="preserve">as open-space land </w:t>
            </w:r>
            <w:r>
              <w:t>for the applicable t</w:t>
            </w:r>
            <w:r>
              <w:t>ax year or years for which the change in appraised value is sought because the property owner failed to file a new application for</w:t>
            </w:r>
            <w:r>
              <w:t xml:space="preserve"> such</w:t>
            </w:r>
            <w:r>
              <w:t xml:space="preserve"> appraisal after a change in ownership of the land occurred;</w:t>
            </w:r>
          </w:p>
          <w:p w:rsidR="00EE4ED7" w:rsidRDefault="00405168" w:rsidP="00E3723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ownership </w:t>
            </w:r>
            <w:r>
              <w:t xml:space="preserve">change </w:t>
            </w:r>
            <w:r>
              <w:t xml:space="preserve">was the result of a </w:t>
            </w:r>
            <w:r>
              <w:t xml:space="preserve">land </w:t>
            </w:r>
            <w:r>
              <w:t xml:space="preserve">transfer from </w:t>
            </w:r>
            <w:r>
              <w:t>a person to whom the property owner is related within the second degree by affinity or third degree by consanguinity; and</w:t>
            </w:r>
            <w:r>
              <w:t xml:space="preserve"> </w:t>
            </w:r>
          </w:p>
          <w:p w:rsidR="00083162" w:rsidRDefault="00405168" w:rsidP="00E3723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land continued to be used in a manner that otherwise qualifie</w:t>
            </w:r>
            <w:r>
              <w:t>d the land for appraisal as open-space land</w:t>
            </w:r>
            <w:r w:rsidRPr="00E663BD">
              <w:t xml:space="preserve"> </w:t>
            </w:r>
            <w:r>
              <w:t xml:space="preserve">during the applicable </w:t>
            </w:r>
            <w:r>
              <w:t>tax year.</w:t>
            </w:r>
          </w:p>
          <w:p w:rsidR="006857C8" w:rsidRDefault="00405168" w:rsidP="00E37235">
            <w:pPr>
              <w:pStyle w:val="Header"/>
              <w:jc w:val="both"/>
            </w:pPr>
          </w:p>
          <w:p w:rsidR="00E663BD" w:rsidRDefault="00405168" w:rsidP="00E37235">
            <w:pPr>
              <w:pStyle w:val="Header"/>
              <w:jc w:val="both"/>
            </w:pPr>
            <w:r>
              <w:t xml:space="preserve">H.B. 1188 requires a property owner, if an appraisal roll is changed </w:t>
            </w:r>
            <w:r>
              <w:t>in such a manner</w:t>
            </w:r>
            <w:r>
              <w:t>,</w:t>
            </w:r>
            <w:r>
              <w:t xml:space="preserve"> to</w:t>
            </w:r>
            <w:r>
              <w:t xml:space="preserve"> </w:t>
            </w:r>
            <w:r w:rsidRPr="00E663BD">
              <w:t xml:space="preserve">pay to each affected taxing unit a penalty equal to </w:t>
            </w:r>
            <w:r>
              <w:t>10</w:t>
            </w:r>
            <w:r w:rsidRPr="00E663BD">
              <w:t xml:space="preserve"> </w:t>
            </w:r>
            <w:r w:rsidRPr="00E663BD">
              <w:t>percent of the difference between the amount of tax imposed on the land and the amount of tax that w</w:t>
            </w:r>
            <w:r w:rsidRPr="00E663BD">
              <w:t>ould have been imposed had the land been taxed at market value. Payment of the penalty is secured by the</w:t>
            </w:r>
            <w:r>
              <w:t xml:space="preserve"> lien that attaches to the land</w:t>
            </w:r>
            <w:r>
              <w:t xml:space="preserve"> to secure the payment of all applicable taxes, penalties, and interest and is subject to enforced collection if delinque</w:t>
            </w:r>
            <w:r>
              <w:t>nt</w:t>
            </w:r>
            <w:r>
              <w:t xml:space="preserve">. The bill prohibits an appraisal roll from being changed </w:t>
            </w:r>
            <w:r>
              <w:t>in such a manner</w:t>
            </w:r>
            <w:r>
              <w:t xml:space="preserve"> if</w:t>
            </w:r>
            <w:r>
              <w:t xml:space="preserve"> </w:t>
            </w:r>
            <w:r w:rsidRPr="00F05F3E">
              <w:t xml:space="preserve">the </w:t>
            </w:r>
            <w:r>
              <w:t xml:space="preserve">land's </w:t>
            </w:r>
            <w:r w:rsidRPr="00F05F3E">
              <w:t>appraised value was established as a result of a written agreement between the property owner or the owner's agent and the appraisal district</w:t>
            </w:r>
            <w:r>
              <w:t xml:space="preserve"> or </w:t>
            </w:r>
            <w:r>
              <w:t xml:space="preserve">if </w:t>
            </w:r>
            <w:r>
              <w:t xml:space="preserve">the land was the </w:t>
            </w:r>
            <w:r>
              <w:t>subject of a</w:t>
            </w:r>
            <w:r>
              <w:t xml:space="preserve"> taxpayer</w:t>
            </w:r>
            <w:r>
              <w:t xml:space="preserve"> protest </w:t>
            </w:r>
            <w:r>
              <w:t xml:space="preserve">for which </w:t>
            </w:r>
            <w:r>
              <w:t>the property owner offered evidence or argument</w:t>
            </w:r>
            <w:r>
              <w:t xml:space="preserve"> in a h</w:t>
            </w:r>
            <w:r>
              <w:t>e</w:t>
            </w:r>
            <w:r>
              <w:t>aring and for which</w:t>
            </w:r>
            <w:r>
              <w:t xml:space="preserve"> the appraisal review board made a determinatio</w:t>
            </w:r>
            <w:r>
              <w:t>n on the merits.</w:t>
            </w:r>
            <w:r>
              <w:t xml:space="preserve"> The bill requires a party bringing a motion to order changes in the appraisal </w:t>
            </w:r>
            <w:r>
              <w:t xml:space="preserve">roll </w:t>
            </w:r>
            <w:r>
              <w:t>in such a manner</w:t>
            </w:r>
            <w:r>
              <w:t xml:space="preserve"> to state the ground</w:t>
            </w:r>
            <w:r>
              <w:t>s</w:t>
            </w:r>
            <w:r>
              <w:t xml:space="preserve"> for the change in appraised value sought</w:t>
            </w:r>
            <w:r>
              <w:t xml:space="preserve"> and</w:t>
            </w:r>
            <w:r>
              <w:t xml:space="preserve"> requires a hearing on such a motion to be conducted in the manner provided by statutory provisions relat</w:t>
            </w:r>
            <w:r>
              <w:t>ing</w:t>
            </w:r>
            <w:r>
              <w:t xml:space="preserve"> to</w:t>
            </w:r>
            <w:r>
              <w:t xml:space="preserve"> a</w:t>
            </w:r>
            <w:r>
              <w:t xml:space="preserve"> taxpayer protest before an appraisal review board.</w:t>
            </w:r>
          </w:p>
          <w:p w:rsidR="006D51DC" w:rsidRDefault="00405168" w:rsidP="00E37235">
            <w:pPr>
              <w:pStyle w:val="Header"/>
              <w:jc w:val="both"/>
            </w:pPr>
          </w:p>
          <w:p w:rsidR="008423E4" w:rsidRPr="00835628" w:rsidRDefault="00405168" w:rsidP="00E37235">
            <w:pPr>
              <w:rPr>
                <w:b/>
              </w:rPr>
            </w:pPr>
          </w:p>
        </w:tc>
      </w:tr>
      <w:tr w:rsidR="00B31144" w:rsidTr="005B6800">
        <w:tc>
          <w:tcPr>
            <w:tcW w:w="9655" w:type="dxa"/>
          </w:tcPr>
          <w:p w:rsidR="008423E4" w:rsidRPr="00A8133F" w:rsidRDefault="00405168" w:rsidP="00E37235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405168" w:rsidP="00E37235"/>
          <w:p w:rsidR="008423E4" w:rsidRPr="003624F2" w:rsidRDefault="00405168" w:rsidP="00E372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405168" w:rsidP="00E37235">
            <w:pPr>
              <w:rPr>
                <w:b/>
              </w:rPr>
            </w:pPr>
          </w:p>
        </w:tc>
      </w:tr>
    </w:tbl>
    <w:p w:rsidR="008423E4" w:rsidRPr="00BE0E75" w:rsidRDefault="004051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516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5168">
      <w:r>
        <w:separator/>
      </w:r>
    </w:p>
  </w:endnote>
  <w:endnote w:type="continuationSeparator" w:id="0">
    <w:p w:rsidR="00000000" w:rsidRDefault="0040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5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1144" w:rsidTr="009C1E9A">
      <w:trPr>
        <w:cantSplit/>
      </w:trPr>
      <w:tc>
        <w:tcPr>
          <w:tcW w:w="0" w:type="pct"/>
        </w:tcPr>
        <w:p w:rsidR="00137D90" w:rsidRDefault="004051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51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51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51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51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1144" w:rsidTr="009C1E9A">
      <w:trPr>
        <w:cantSplit/>
      </w:trPr>
      <w:tc>
        <w:tcPr>
          <w:tcW w:w="0" w:type="pct"/>
        </w:tcPr>
        <w:p w:rsidR="00EC379B" w:rsidRDefault="004051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51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18973</w:t>
          </w:r>
        </w:p>
      </w:tc>
      <w:tc>
        <w:tcPr>
          <w:tcW w:w="2453" w:type="pct"/>
        </w:tcPr>
        <w:p w:rsidR="00EC379B" w:rsidRDefault="004051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19.68.265</w:t>
          </w:r>
          <w:r>
            <w:fldChar w:fldCharType="end"/>
          </w:r>
        </w:p>
      </w:tc>
    </w:tr>
    <w:tr w:rsidR="00B31144" w:rsidTr="009C1E9A">
      <w:trPr>
        <w:cantSplit/>
      </w:trPr>
      <w:tc>
        <w:tcPr>
          <w:tcW w:w="0" w:type="pct"/>
        </w:tcPr>
        <w:p w:rsidR="00EC379B" w:rsidRDefault="004051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51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05168" w:rsidP="006D504F">
          <w:pPr>
            <w:pStyle w:val="Footer"/>
            <w:rPr>
              <w:rStyle w:val="PageNumber"/>
            </w:rPr>
          </w:pPr>
        </w:p>
        <w:p w:rsidR="00EC379B" w:rsidRDefault="004051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11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51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051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51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5168">
      <w:r>
        <w:separator/>
      </w:r>
    </w:p>
  </w:footnote>
  <w:footnote w:type="continuationSeparator" w:id="0">
    <w:p w:rsidR="00000000" w:rsidRDefault="0040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5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5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5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043F"/>
    <w:multiLevelType w:val="hybridMultilevel"/>
    <w:tmpl w:val="36942F68"/>
    <w:lvl w:ilvl="0" w:tplc="DCFA1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CB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8D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5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2F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E01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A4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62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09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229"/>
    <w:multiLevelType w:val="hybridMultilevel"/>
    <w:tmpl w:val="19AEA0D0"/>
    <w:lvl w:ilvl="0" w:tplc="C04CD02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672FC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D74C8E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A22B9C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FC86D2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ECE7D6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EDEEB6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26A04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1A016D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44"/>
    <w:rsid w:val="00405168"/>
    <w:rsid w:val="00B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89D45-6578-46D6-82D7-279FD41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66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6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66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6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3315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HB01188 (Committee Report (Unamended))</vt:lpstr>
    </vt:vector>
  </TitlesOfParts>
  <Company>State of Texas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18973</dc:subject>
  <dc:creator>State of Texas</dc:creator>
  <dc:description>HB 1188 by Hefner-(H)Ways &amp; Means</dc:description>
  <cp:lastModifiedBy>Erin Conway</cp:lastModifiedBy>
  <cp:revision>2</cp:revision>
  <cp:lastPrinted>2003-11-26T17:21:00Z</cp:lastPrinted>
  <dcterms:created xsi:type="dcterms:W3CDTF">2019-03-25T14:36:00Z</dcterms:created>
  <dcterms:modified xsi:type="dcterms:W3CDTF">2019-03-25T14:36:00Z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19.68.265</vt:lpwstr>
  </property>
</Properties>
</file>