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D9" w:rsidRDefault="00C23B71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3B5E" w:rsidTr="00345119">
        <w:tc>
          <w:tcPr>
            <w:tcW w:w="9576" w:type="dxa"/>
            <w:noWrap/>
          </w:tcPr>
          <w:p w:rsidR="008423E4" w:rsidRPr="0022177D" w:rsidRDefault="00C23B71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C23B71" w:rsidP="008423E4">
      <w:pPr>
        <w:jc w:val="center"/>
      </w:pPr>
    </w:p>
    <w:p w:rsidR="008423E4" w:rsidRPr="00B31F0E" w:rsidRDefault="00C23B71" w:rsidP="008423E4"/>
    <w:p w:rsidR="008423E4" w:rsidRPr="00742794" w:rsidRDefault="00C23B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3B5E" w:rsidTr="00345119">
        <w:tc>
          <w:tcPr>
            <w:tcW w:w="9576" w:type="dxa"/>
          </w:tcPr>
          <w:p w:rsidR="008423E4" w:rsidRPr="00861995" w:rsidRDefault="00C23B71" w:rsidP="00345119">
            <w:pPr>
              <w:jc w:val="right"/>
            </w:pPr>
            <w:r>
              <w:t>H.B. 1214</w:t>
            </w:r>
          </w:p>
        </w:tc>
      </w:tr>
      <w:tr w:rsidR="00D93B5E" w:rsidTr="00345119">
        <w:tc>
          <w:tcPr>
            <w:tcW w:w="9576" w:type="dxa"/>
          </w:tcPr>
          <w:p w:rsidR="008423E4" w:rsidRPr="00861995" w:rsidRDefault="00C23B71" w:rsidP="006B4153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D93B5E" w:rsidTr="00345119">
        <w:tc>
          <w:tcPr>
            <w:tcW w:w="9576" w:type="dxa"/>
          </w:tcPr>
          <w:p w:rsidR="008423E4" w:rsidRPr="00861995" w:rsidRDefault="00C23B71" w:rsidP="00345119">
            <w:pPr>
              <w:jc w:val="right"/>
            </w:pPr>
            <w:r>
              <w:t>Appropriations</w:t>
            </w:r>
          </w:p>
        </w:tc>
      </w:tr>
      <w:tr w:rsidR="00D93B5E" w:rsidTr="00345119">
        <w:tc>
          <w:tcPr>
            <w:tcW w:w="9576" w:type="dxa"/>
          </w:tcPr>
          <w:p w:rsidR="008423E4" w:rsidRDefault="00C23B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3B71" w:rsidP="008423E4">
      <w:pPr>
        <w:tabs>
          <w:tab w:val="right" w:pos="9360"/>
        </w:tabs>
      </w:pPr>
    </w:p>
    <w:p w:rsidR="008423E4" w:rsidRDefault="00C23B71" w:rsidP="008423E4"/>
    <w:p w:rsidR="008423E4" w:rsidRDefault="00C23B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3B5E" w:rsidTr="00345119">
        <w:tc>
          <w:tcPr>
            <w:tcW w:w="9576" w:type="dxa"/>
          </w:tcPr>
          <w:p w:rsidR="008423E4" w:rsidRPr="00A8133F" w:rsidRDefault="00C23B71" w:rsidP="00F12B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F12BAC" w:rsidRDefault="00C23B71" w:rsidP="00F12BAC">
            <w:pPr>
              <w:rPr>
                <w:sz w:val="22"/>
              </w:rPr>
            </w:pPr>
          </w:p>
          <w:p w:rsidR="008423E4" w:rsidRDefault="00C23B71" w:rsidP="00F12BAC">
            <w:pPr>
              <w:pStyle w:val="Header"/>
              <w:jc w:val="both"/>
            </w:pPr>
            <w:r>
              <w:t xml:space="preserve">It has been suggested that the </w:t>
            </w:r>
            <w:r>
              <w:t xml:space="preserve">current </w:t>
            </w:r>
            <w:r>
              <w:t>allocation</w:t>
            </w:r>
            <w:r>
              <w:t xml:space="preserve"> of the </w:t>
            </w:r>
            <w:r>
              <w:t>s</w:t>
            </w:r>
            <w:r>
              <w:t xml:space="preserve">porting </w:t>
            </w:r>
            <w:r>
              <w:t>g</w:t>
            </w:r>
            <w:r>
              <w:t xml:space="preserve">oods </w:t>
            </w:r>
            <w:r>
              <w:t>s</w:t>
            </w:r>
            <w:r>
              <w:t xml:space="preserve">ales </w:t>
            </w:r>
            <w:r>
              <w:t>t</w:t>
            </w:r>
            <w:r>
              <w:t xml:space="preserve">ax has not provided a reliable source of funding for state and local parks and historic sites as intended. </w:t>
            </w:r>
            <w:r>
              <w:t>Reports indicate that t</w:t>
            </w:r>
            <w:r>
              <w:t xml:space="preserve">he </w:t>
            </w:r>
            <w:r>
              <w:t xml:space="preserve">infrastructure </w:t>
            </w:r>
            <w:r>
              <w:t xml:space="preserve">of these parks </w:t>
            </w:r>
            <w:r>
              <w:t>and sites is outdated</w:t>
            </w:r>
            <w:r>
              <w:t xml:space="preserve"> and </w:t>
            </w:r>
            <w:r>
              <w:t>inadequately maintained</w:t>
            </w:r>
            <w:r>
              <w:t xml:space="preserve">. </w:t>
            </w:r>
            <w:r>
              <w:t xml:space="preserve">There </w:t>
            </w:r>
            <w:r>
              <w:t>is an identified need to</w:t>
            </w:r>
            <w:r>
              <w:t xml:space="preserve"> provide s</w:t>
            </w:r>
            <w:r>
              <w:t>us</w:t>
            </w:r>
            <w:r>
              <w:t xml:space="preserve">tained and predictable funding through the automatic appropriation of the </w:t>
            </w:r>
            <w:r>
              <w:t>t</w:t>
            </w:r>
            <w:r>
              <w:t>ax</w:t>
            </w:r>
            <w:r>
              <w:t>, as such funding may</w:t>
            </w:r>
            <w:r>
              <w:t xml:space="preserve"> offer a path forward to meet state park construction, operations, and customer demands. </w:t>
            </w:r>
            <w:r>
              <w:t xml:space="preserve">H.B. 1214 seeks to address this issue by providing for </w:t>
            </w:r>
            <w:r>
              <w:t xml:space="preserve">the automatic </w:t>
            </w:r>
            <w:r>
              <w:t xml:space="preserve">appropriation of the </w:t>
            </w:r>
            <w:r>
              <w:t>sporting g</w:t>
            </w:r>
            <w:r>
              <w:t xml:space="preserve">oods </w:t>
            </w:r>
            <w:r>
              <w:t>s</w:t>
            </w:r>
            <w:r>
              <w:t xml:space="preserve">ales </w:t>
            </w:r>
            <w:r>
              <w:t>t</w:t>
            </w:r>
            <w:r>
              <w:t>ax to the Texas Parks and Wildlife Department and the Texas Historical Commission.</w:t>
            </w:r>
          </w:p>
          <w:p w:rsidR="008423E4" w:rsidRPr="00E26B13" w:rsidRDefault="00C23B71" w:rsidP="00F12BAC">
            <w:pPr>
              <w:rPr>
                <w:b/>
              </w:rPr>
            </w:pPr>
          </w:p>
        </w:tc>
      </w:tr>
      <w:tr w:rsidR="00D93B5E" w:rsidTr="00345119">
        <w:tc>
          <w:tcPr>
            <w:tcW w:w="9576" w:type="dxa"/>
          </w:tcPr>
          <w:p w:rsidR="0017725B" w:rsidRDefault="00C23B71" w:rsidP="00F12B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F12BAC" w:rsidRDefault="00C23B71" w:rsidP="00F12BAC">
            <w:pPr>
              <w:rPr>
                <w:b/>
                <w:sz w:val="22"/>
                <w:u w:val="single"/>
              </w:rPr>
            </w:pPr>
          </w:p>
          <w:p w:rsidR="00ED17AD" w:rsidRPr="00ED17AD" w:rsidRDefault="00C23B71" w:rsidP="00F12BAC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3B71" w:rsidP="00F12BAC">
            <w:pPr>
              <w:rPr>
                <w:b/>
                <w:u w:val="single"/>
              </w:rPr>
            </w:pPr>
          </w:p>
        </w:tc>
      </w:tr>
      <w:tr w:rsidR="00D93B5E" w:rsidTr="00345119">
        <w:tc>
          <w:tcPr>
            <w:tcW w:w="9576" w:type="dxa"/>
          </w:tcPr>
          <w:p w:rsidR="008423E4" w:rsidRPr="00A8133F" w:rsidRDefault="00C23B71" w:rsidP="00F12B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F12BAC" w:rsidRDefault="00C23B71" w:rsidP="00F12BAC">
            <w:pPr>
              <w:rPr>
                <w:sz w:val="22"/>
              </w:rPr>
            </w:pPr>
          </w:p>
          <w:p w:rsidR="00ED17AD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</w:t>
            </w:r>
            <w:r>
              <w:t>y grant any additional rulemaking authority to a state officer, department, agency, or institution.</w:t>
            </w:r>
          </w:p>
          <w:p w:rsidR="008423E4" w:rsidRPr="00E21FDC" w:rsidRDefault="00C23B71" w:rsidP="00F12BAC">
            <w:pPr>
              <w:rPr>
                <w:b/>
              </w:rPr>
            </w:pPr>
          </w:p>
        </w:tc>
      </w:tr>
      <w:tr w:rsidR="00D93B5E" w:rsidTr="00345119">
        <w:tc>
          <w:tcPr>
            <w:tcW w:w="9576" w:type="dxa"/>
          </w:tcPr>
          <w:p w:rsidR="008423E4" w:rsidRDefault="00C23B71" w:rsidP="00F12B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B414B" w:rsidRPr="00F12BAC" w:rsidRDefault="00C23B71" w:rsidP="00F12BAC">
            <w:pPr>
              <w:rPr>
                <w:b/>
                <w:sz w:val="22"/>
              </w:rPr>
            </w:pPr>
          </w:p>
          <w:p w:rsidR="000D746B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1214 amends </w:t>
            </w:r>
            <w:r>
              <w:t>the</w:t>
            </w:r>
            <w:r w:rsidRPr="000D746B">
              <w:t xml:space="preserve"> Tax Code</w:t>
            </w:r>
            <w:r>
              <w:t xml:space="preserve"> to require the legislature to allocate the money credited to the Parks and Wildlife Department (TPWD) from the pr</w:t>
            </w:r>
            <w:r>
              <w:t xml:space="preserve">oceeds </w:t>
            </w:r>
            <w:r>
              <w:t xml:space="preserve">of </w:t>
            </w:r>
            <w:r>
              <w:t xml:space="preserve">the collection of taxes imposed on the sale, storage, or use of sporting goods to </w:t>
            </w:r>
            <w:r>
              <w:t xml:space="preserve">the appropriate </w:t>
            </w:r>
            <w:r>
              <w:t xml:space="preserve">TPWD accounts in specific amounts provided </w:t>
            </w:r>
            <w:r>
              <w:t xml:space="preserve">in </w:t>
            </w:r>
            <w:r>
              <w:t>the General Appropriations Act</w:t>
            </w:r>
            <w:r>
              <w:t>.</w:t>
            </w:r>
            <w:r>
              <w:t xml:space="preserve"> The bill </w:t>
            </w:r>
            <w:r>
              <w:t>includes</w:t>
            </w:r>
            <w:r>
              <w:t xml:space="preserve"> </w:t>
            </w:r>
            <w:r>
              <w:t>the payment of debt service on bonds issued by TPWD</w:t>
            </w:r>
            <w:r>
              <w:t xml:space="preserve"> </w:t>
            </w:r>
            <w:r>
              <w:t>among the authorized uses of th</w:t>
            </w:r>
            <w:r>
              <w:t>e</w:t>
            </w:r>
            <w:r>
              <w:t xml:space="preserve"> mon</w:t>
            </w:r>
            <w:r>
              <w:t>ey</w:t>
            </w:r>
            <w:r>
              <w:t xml:space="preserve"> and clarifies provi</w:t>
            </w:r>
            <w:r>
              <w:t>sions relating to using the money to fund the state contribution for certain employee benefit-related costs.</w:t>
            </w:r>
            <w:r>
              <w:t xml:space="preserve"> </w:t>
            </w:r>
          </w:p>
          <w:p w:rsidR="000D746B" w:rsidRPr="00F12BAC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D03627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1214 amends the Government Code to change the </w:t>
            </w:r>
            <w:r>
              <w:t xml:space="preserve">nature of the </w:t>
            </w:r>
            <w:r>
              <w:t>historic</w:t>
            </w:r>
            <w:r>
              <w:t xml:space="preserve"> site account from a separate account in the general revenue fund to a dedicated account in the general revenue fund. The bill </w:t>
            </w:r>
            <w:r>
              <w:t xml:space="preserve">removes a </w:t>
            </w:r>
            <w:r>
              <w:t xml:space="preserve">provision establishing that any money in the account not used in a fiscal year remains in the account and </w:t>
            </w:r>
            <w:r>
              <w:t>a provision e</w:t>
            </w:r>
            <w:r>
              <w:t>xempting</w:t>
            </w:r>
            <w:r>
              <w:t xml:space="preserve"> </w:t>
            </w:r>
            <w:r>
              <w:t>the account from</w:t>
            </w:r>
            <w:r>
              <w:t xml:space="preserve"> statutory </w:t>
            </w:r>
            <w:r>
              <w:t xml:space="preserve">provisions </w:t>
            </w:r>
            <w:r>
              <w:t>governing</w:t>
            </w:r>
            <w:r>
              <w:t xml:space="preserve"> the use of dedicated revenue. </w:t>
            </w:r>
            <w:r>
              <w:t>These provisions take effect January 1, 2020.</w:t>
            </w:r>
          </w:p>
          <w:p w:rsidR="00D03627" w:rsidRPr="00F12BAC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2434D8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1214 amends the Parks and Wildlife Code to make conforming changes.  </w:t>
            </w:r>
          </w:p>
          <w:p w:rsidR="008423E4" w:rsidRPr="00835628" w:rsidRDefault="00C23B71" w:rsidP="00F12BAC">
            <w:pPr>
              <w:rPr>
                <w:b/>
              </w:rPr>
            </w:pPr>
          </w:p>
        </w:tc>
      </w:tr>
      <w:tr w:rsidR="00D93B5E" w:rsidTr="00345119">
        <w:tc>
          <w:tcPr>
            <w:tcW w:w="9576" w:type="dxa"/>
          </w:tcPr>
          <w:p w:rsidR="008423E4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u w:val="single"/>
              </w:rPr>
            </w:pPr>
            <w:r w:rsidRPr="0004211B">
              <w:rPr>
                <w:b/>
                <w:u w:val="single"/>
              </w:rPr>
              <w:t>EFFECTIVE DATE</w:t>
            </w:r>
          </w:p>
          <w:p w:rsidR="00F12BAC" w:rsidRPr="00F12BAC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  <w:u w:val="single"/>
              </w:rPr>
            </w:pPr>
          </w:p>
          <w:p w:rsidR="00640C53" w:rsidRPr="0004211B" w:rsidRDefault="00C23B71" w:rsidP="00F12B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</w:t>
            </w:r>
            <w:r>
              <w:t>,</w:t>
            </w:r>
            <w:r>
              <w:t xml:space="preserve"> </w:t>
            </w:r>
            <w:r>
              <w:t xml:space="preserve">September </w:t>
            </w:r>
            <w:r>
              <w:t xml:space="preserve">1, </w:t>
            </w:r>
            <w:r>
              <w:t>2021</w:t>
            </w:r>
            <w:r>
              <w:t>,</w:t>
            </w:r>
            <w:r>
              <w:t xml:space="preserve"> if the constitutional amendment </w:t>
            </w:r>
            <w:r w:rsidRPr="0004211B">
              <w:t xml:space="preserve">requiring the automatic appropriation of the net revenue received from the collection of state taxes imposed on the sale, storage, use, or other consumption in </w:t>
            </w:r>
            <w:r>
              <w:t>Texas</w:t>
            </w:r>
            <w:r w:rsidRPr="0004211B">
              <w:t xml:space="preserve"> of certain sporting goods to the Parks</w:t>
            </w:r>
            <w:r w:rsidRPr="0004211B">
              <w:t xml:space="preserve"> and Wildlife Department and the Texas Historical Commission is approved by the voters.</w:t>
            </w:r>
          </w:p>
        </w:tc>
      </w:tr>
    </w:tbl>
    <w:p w:rsidR="004108C3" w:rsidRPr="00F12BAC" w:rsidRDefault="00C23B71" w:rsidP="008423E4">
      <w:pPr>
        <w:rPr>
          <w:sz w:val="8"/>
        </w:rPr>
      </w:pPr>
    </w:p>
    <w:sectPr w:rsidR="004108C3" w:rsidRPr="00F12BA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B71">
      <w:r>
        <w:separator/>
      </w:r>
    </w:p>
  </w:endnote>
  <w:endnote w:type="continuationSeparator" w:id="0">
    <w:p w:rsidR="00000000" w:rsidRDefault="00C2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3B5E" w:rsidTr="009C1E9A">
      <w:trPr>
        <w:cantSplit/>
      </w:trPr>
      <w:tc>
        <w:tcPr>
          <w:tcW w:w="0" w:type="pct"/>
        </w:tcPr>
        <w:p w:rsidR="00137D90" w:rsidRDefault="00C23B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3B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3B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3B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3B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3B5E" w:rsidTr="009C1E9A">
      <w:trPr>
        <w:cantSplit/>
      </w:trPr>
      <w:tc>
        <w:tcPr>
          <w:tcW w:w="0" w:type="pct"/>
        </w:tcPr>
        <w:p w:rsidR="00EC379B" w:rsidRDefault="00C23B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3B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24264</w:t>
          </w:r>
        </w:p>
      </w:tc>
      <w:tc>
        <w:tcPr>
          <w:tcW w:w="2453" w:type="pct"/>
        </w:tcPr>
        <w:p w:rsidR="00EC379B" w:rsidRDefault="00C23B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19.94.671</w:t>
          </w:r>
          <w:r>
            <w:fldChar w:fldCharType="end"/>
          </w:r>
        </w:p>
      </w:tc>
    </w:tr>
    <w:tr w:rsidR="00D93B5E" w:rsidTr="009C1E9A">
      <w:trPr>
        <w:cantSplit/>
      </w:trPr>
      <w:tc>
        <w:tcPr>
          <w:tcW w:w="0" w:type="pct"/>
        </w:tcPr>
        <w:p w:rsidR="00EC379B" w:rsidRDefault="00C23B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3B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3B71" w:rsidP="006D504F">
          <w:pPr>
            <w:pStyle w:val="Footer"/>
            <w:rPr>
              <w:rStyle w:val="PageNumber"/>
            </w:rPr>
          </w:pPr>
        </w:p>
        <w:p w:rsidR="00EC379B" w:rsidRDefault="00C23B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3B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3B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3B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3B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B71">
      <w:r>
        <w:separator/>
      </w:r>
    </w:p>
  </w:footnote>
  <w:footnote w:type="continuationSeparator" w:id="0">
    <w:p w:rsidR="00000000" w:rsidRDefault="00C2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A5D"/>
    <w:multiLevelType w:val="hybridMultilevel"/>
    <w:tmpl w:val="3384BB06"/>
    <w:lvl w:ilvl="0" w:tplc="E638B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44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A7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AE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4D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4E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7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C5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6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5E"/>
    <w:rsid w:val="00C23B71"/>
    <w:rsid w:val="00D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175490-D2F9-4579-91C0-B9AAF37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0F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0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0F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0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2359</Characters>
  <Application>Microsoft Office Word</Application>
  <DocSecurity>4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HB01214 (Committee Report (Unamended))</vt:lpstr>
    </vt:vector>
  </TitlesOfParts>
  <Company>State of Texas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24264</dc:subject>
  <dc:creator>State of Texas</dc:creator>
  <dc:description>HB 1214 by Cyrier-(H)Appropriations</dc:description>
  <cp:lastModifiedBy>Laura Ramsay</cp:lastModifiedBy>
  <cp:revision>2</cp:revision>
  <cp:lastPrinted>2003-11-26T17:21:00Z</cp:lastPrinted>
  <dcterms:created xsi:type="dcterms:W3CDTF">2019-04-11T16:31:00Z</dcterms:created>
  <dcterms:modified xsi:type="dcterms:W3CDTF">2019-04-11T16:31:00Z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19.94.671</vt:lpwstr>
  </property>
</Properties>
</file>