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3607E" w:rsidTr="00345119">
        <w:tc>
          <w:tcPr>
            <w:tcW w:w="9576" w:type="dxa"/>
            <w:noWrap/>
          </w:tcPr>
          <w:p w:rsidR="008423E4" w:rsidRPr="0022177D" w:rsidRDefault="00EB430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B4307" w:rsidP="008423E4">
      <w:pPr>
        <w:jc w:val="center"/>
      </w:pPr>
    </w:p>
    <w:p w:rsidR="008423E4" w:rsidRPr="00B31F0E" w:rsidRDefault="00EB4307" w:rsidP="008423E4"/>
    <w:p w:rsidR="008423E4" w:rsidRPr="00742794" w:rsidRDefault="00EB430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3607E" w:rsidTr="00345119">
        <w:tc>
          <w:tcPr>
            <w:tcW w:w="9576" w:type="dxa"/>
          </w:tcPr>
          <w:p w:rsidR="008423E4" w:rsidRPr="00861995" w:rsidRDefault="00EB4307" w:rsidP="00345119">
            <w:pPr>
              <w:jc w:val="right"/>
            </w:pPr>
            <w:r>
              <w:t>C.S.H.B. 1226</w:t>
            </w:r>
          </w:p>
        </w:tc>
      </w:tr>
      <w:tr w:rsidR="0083607E" w:rsidTr="00345119">
        <w:tc>
          <w:tcPr>
            <w:tcW w:w="9576" w:type="dxa"/>
          </w:tcPr>
          <w:p w:rsidR="008423E4" w:rsidRPr="00861995" w:rsidRDefault="00EB4307" w:rsidP="00951B26">
            <w:pPr>
              <w:jc w:val="right"/>
            </w:pPr>
            <w:r>
              <w:t xml:space="preserve">By: </w:t>
            </w:r>
            <w:r>
              <w:t>Lang</w:t>
            </w:r>
          </w:p>
        </w:tc>
      </w:tr>
      <w:tr w:rsidR="0083607E" w:rsidTr="00345119">
        <w:tc>
          <w:tcPr>
            <w:tcW w:w="9576" w:type="dxa"/>
          </w:tcPr>
          <w:p w:rsidR="008423E4" w:rsidRPr="00861995" w:rsidRDefault="00EB4307" w:rsidP="00345119">
            <w:pPr>
              <w:jc w:val="right"/>
            </w:pPr>
            <w:r>
              <w:t>Transportation</w:t>
            </w:r>
          </w:p>
        </w:tc>
      </w:tr>
      <w:tr w:rsidR="0083607E" w:rsidTr="00345119">
        <w:tc>
          <w:tcPr>
            <w:tcW w:w="9576" w:type="dxa"/>
          </w:tcPr>
          <w:p w:rsidR="008423E4" w:rsidRDefault="00EB430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EB4307" w:rsidP="008423E4">
      <w:pPr>
        <w:tabs>
          <w:tab w:val="right" w:pos="9360"/>
        </w:tabs>
      </w:pPr>
    </w:p>
    <w:p w:rsidR="008423E4" w:rsidRDefault="00EB4307" w:rsidP="008423E4"/>
    <w:p w:rsidR="008423E4" w:rsidRDefault="00EB430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3607E" w:rsidTr="00345119">
        <w:tc>
          <w:tcPr>
            <w:tcW w:w="9576" w:type="dxa"/>
          </w:tcPr>
          <w:p w:rsidR="008423E4" w:rsidRPr="00A8133F" w:rsidRDefault="00EB4307" w:rsidP="00AD522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B4307" w:rsidP="00AD522E"/>
          <w:p w:rsidR="008423E4" w:rsidRDefault="00EB4307" w:rsidP="00AD52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</w:t>
            </w:r>
            <w:r>
              <w:t xml:space="preserve">state law does not provide </w:t>
            </w:r>
            <w:r>
              <w:t xml:space="preserve">certain </w:t>
            </w:r>
            <w:r>
              <w:t>protections</w:t>
            </w:r>
            <w:r>
              <w:t xml:space="preserve"> from motorists that are</w:t>
            </w:r>
            <w:r>
              <w:t xml:space="preserve"> afforded to certain vehicles, including Texas Department of Transportation (TxDOT) vehicles, to </w:t>
            </w:r>
            <w:r>
              <w:t xml:space="preserve">highway maintenance </w:t>
            </w:r>
            <w:r>
              <w:t>vehicles contracted to work on behalf of TxDOT</w:t>
            </w:r>
            <w:r>
              <w:t xml:space="preserve"> or service vehicles used in the maintenance of an electrical power line</w:t>
            </w:r>
            <w:r>
              <w:t xml:space="preserve">. </w:t>
            </w:r>
            <w:r>
              <w:t xml:space="preserve">Concerns have been </w:t>
            </w:r>
            <w:r>
              <w:t xml:space="preserve">raised that this may </w:t>
            </w:r>
            <w:r>
              <w:t xml:space="preserve">play </w:t>
            </w:r>
            <w:r>
              <w:t xml:space="preserve">a role in the high number of </w:t>
            </w:r>
            <w:r>
              <w:t>contract worker fatalities that occur on</w:t>
            </w:r>
            <w:r>
              <w:t xml:space="preserve"> Texas</w:t>
            </w:r>
            <w:r>
              <w:t xml:space="preserve"> roadways</w:t>
            </w:r>
            <w:r>
              <w:t xml:space="preserve">. </w:t>
            </w:r>
            <w:r>
              <w:t>C.S.</w:t>
            </w:r>
            <w:r>
              <w:t xml:space="preserve">H.B. 1226 seeks to improve </w:t>
            </w:r>
            <w:r>
              <w:t xml:space="preserve">the </w:t>
            </w:r>
            <w:r>
              <w:t xml:space="preserve">safety </w:t>
            </w:r>
            <w:r>
              <w:t xml:space="preserve">of these workers </w:t>
            </w:r>
            <w:r>
              <w:t xml:space="preserve">by </w:t>
            </w:r>
            <w:r>
              <w:t xml:space="preserve">including </w:t>
            </w:r>
            <w:r>
              <w:t>these</w:t>
            </w:r>
            <w:r>
              <w:t xml:space="preserve"> vehicles under these protections. </w:t>
            </w:r>
          </w:p>
          <w:p w:rsidR="008423E4" w:rsidRPr="00E26B13" w:rsidRDefault="00EB4307" w:rsidP="00AD522E">
            <w:pPr>
              <w:rPr>
                <w:b/>
              </w:rPr>
            </w:pPr>
          </w:p>
        </w:tc>
      </w:tr>
      <w:tr w:rsidR="0083607E" w:rsidTr="00345119">
        <w:tc>
          <w:tcPr>
            <w:tcW w:w="9576" w:type="dxa"/>
          </w:tcPr>
          <w:p w:rsidR="0017725B" w:rsidRDefault="00EB4307" w:rsidP="00AD522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B4307" w:rsidP="00AD522E">
            <w:pPr>
              <w:rPr>
                <w:b/>
                <w:u w:val="single"/>
              </w:rPr>
            </w:pPr>
          </w:p>
          <w:p w:rsidR="000E57BA" w:rsidRPr="000E57BA" w:rsidRDefault="00EB4307" w:rsidP="00AD522E">
            <w:pPr>
              <w:jc w:val="both"/>
            </w:pPr>
            <w:r>
              <w:t>It i</w:t>
            </w:r>
            <w:r>
              <w:t>s the committee's opinion that this bill does not expressly create a criminal offense, increase the punishment for an existing criminal offense or category of offenses, or change the eligibility of a person for community supervision, parole, or mandatory s</w:t>
            </w:r>
            <w:r>
              <w:t>upervision.</w:t>
            </w:r>
          </w:p>
          <w:p w:rsidR="0017725B" w:rsidRPr="0017725B" w:rsidRDefault="00EB4307" w:rsidP="00AD522E">
            <w:pPr>
              <w:rPr>
                <w:b/>
                <w:u w:val="single"/>
              </w:rPr>
            </w:pPr>
          </w:p>
        </w:tc>
      </w:tr>
      <w:tr w:rsidR="0083607E" w:rsidTr="00345119">
        <w:tc>
          <w:tcPr>
            <w:tcW w:w="9576" w:type="dxa"/>
          </w:tcPr>
          <w:p w:rsidR="008423E4" w:rsidRPr="00A8133F" w:rsidRDefault="00EB4307" w:rsidP="00AD522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B4307" w:rsidP="00AD522E"/>
          <w:p w:rsidR="000E57BA" w:rsidRDefault="00EB4307" w:rsidP="00AD52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B4307" w:rsidP="00AD522E">
            <w:pPr>
              <w:rPr>
                <w:b/>
              </w:rPr>
            </w:pPr>
          </w:p>
        </w:tc>
      </w:tr>
      <w:tr w:rsidR="0083607E" w:rsidTr="00345119">
        <w:tc>
          <w:tcPr>
            <w:tcW w:w="9576" w:type="dxa"/>
          </w:tcPr>
          <w:p w:rsidR="008423E4" w:rsidRPr="00A8133F" w:rsidRDefault="00EB4307" w:rsidP="00AD522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B4307" w:rsidP="00AD522E"/>
          <w:p w:rsidR="00FD2CA2" w:rsidRDefault="00EB4307" w:rsidP="00AD522E">
            <w:pPr>
              <w:jc w:val="both"/>
            </w:pPr>
            <w:r>
              <w:t>C.S.</w:t>
            </w:r>
            <w:r>
              <w:t xml:space="preserve">H.B. 1226 amends the Transportation </w:t>
            </w:r>
            <w:r>
              <w:t>Code</w:t>
            </w:r>
            <w:r>
              <w:t xml:space="preserve"> to include</w:t>
            </w:r>
            <w:r>
              <w:t xml:space="preserve"> the following</w:t>
            </w:r>
            <w:r>
              <w:t xml:space="preserve"> vehicles</w:t>
            </w:r>
            <w:r>
              <w:t xml:space="preserve"> </w:t>
            </w:r>
            <w:r>
              <w:t xml:space="preserve">among the vehicles </w:t>
            </w:r>
            <w:r>
              <w:t>that</w:t>
            </w:r>
            <w:r>
              <w:t>, if not separated from the roadway by a traffic control channelizing device and using certain compliant visual signs, trigger the</w:t>
            </w:r>
            <w:r>
              <w:t xml:space="preserve"> require</w:t>
            </w:r>
            <w:r>
              <w:t>ment that</w:t>
            </w:r>
            <w:r>
              <w:t xml:space="preserve"> an operator of another vehicle, on approaching, sl</w:t>
            </w:r>
            <w:r>
              <w:t>ow to a specified speed or</w:t>
            </w:r>
            <w:r>
              <w:t xml:space="preserve"> vacate the lane closest to the vehicle when driving on a highway with two or more lanes traveling in the direction of the vehicle</w:t>
            </w:r>
            <w:r>
              <w:t>:</w:t>
            </w:r>
          </w:p>
          <w:p w:rsidR="00FD2CA2" w:rsidRDefault="00EB4307" w:rsidP="00AD522E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  <w:r w:rsidRPr="00FD2CA2">
              <w:t>a highway maintenance vehicle operated pursuant to a contract for the construction, maintenance, o</w:t>
            </w:r>
            <w:r w:rsidRPr="00FD2CA2">
              <w:t>r improvement of a state highway</w:t>
            </w:r>
            <w:r>
              <w:t>; and</w:t>
            </w:r>
          </w:p>
          <w:p w:rsidR="00FD2CA2" w:rsidRDefault="00EB4307" w:rsidP="00AD522E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  <w:r>
              <w:t>a service vehicle used in the maintenance of an electrical power line and using visual signals that comply with maintenance vehicle lighting standards and specifications.</w:t>
            </w:r>
          </w:p>
          <w:p w:rsidR="008423E4" w:rsidRDefault="00EB4307" w:rsidP="00AD522E">
            <w:pPr>
              <w:jc w:val="both"/>
            </w:pPr>
            <w:r>
              <w:t>The bill</w:t>
            </w:r>
            <w:r>
              <w:t xml:space="preserve"> </w:t>
            </w:r>
            <w:r>
              <w:t>expands</w:t>
            </w:r>
            <w:r>
              <w:t xml:space="preserve"> </w:t>
            </w:r>
            <w:r>
              <w:t>the definition of "highway mai</w:t>
            </w:r>
            <w:r>
              <w:t xml:space="preserve">ntenance vehicle" </w:t>
            </w:r>
            <w:r>
              <w:t>as it relates to vehicle equipment to include</w:t>
            </w:r>
            <w:r>
              <w:t xml:space="preserve"> </w:t>
            </w:r>
            <w:r w:rsidRPr="000E57BA">
              <w:t>road maintenance equipment used for guardrail repair, sign maintenance, and temporary traffic control device placement or removal.</w:t>
            </w:r>
          </w:p>
          <w:p w:rsidR="00567D00" w:rsidRPr="00835628" w:rsidRDefault="00EB4307" w:rsidP="00AD522E">
            <w:pPr>
              <w:jc w:val="both"/>
              <w:rPr>
                <w:b/>
              </w:rPr>
            </w:pPr>
          </w:p>
        </w:tc>
      </w:tr>
      <w:tr w:rsidR="0083607E" w:rsidTr="00345119">
        <w:tc>
          <w:tcPr>
            <w:tcW w:w="9576" w:type="dxa"/>
          </w:tcPr>
          <w:p w:rsidR="008423E4" w:rsidRPr="00A8133F" w:rsidRDefault="00EB4307" w:rsidP="00AD522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B4307" w:rsidP="00AD522E"/>
          <w:p w:rsidR="008423E4" w:rsidRPr="003624F2" w:rsidRDefault="00EB4307" w:rsidP="00AD52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EB4307" w:rsidP="00AD522E">
            <w:pPr>
              <w:rPr>
                <w:b/>
              </w:rPr>
            </w:pPr>
          </w:p>
        </w:tc>
      </w:tr>
      <w:tr w:rsidR="0083607E" w:rsidTr="00345119">
        <w:tc>
          <w:tcPr>
            <w:tcW w:w="9576" w:type="dxa"/>
          </w:tcPr>
          <w:p w:rsidR="00951B26" w:rsidRDefault="00EB4307" w:rsidP="00AD522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</w:t>
            </w:r>
            <w:r>
              <w:rPr>
                <w:b/>
                <w:u w:val="single"/>
              </w:rPr>
              <w:t>ORIGINAL AND SUBSTITUTE</w:t>
            </w:r>
          </w:p>
          <w:p w:rsidR="00B132C1" w:rsidRDefault="00EB4307" w:rsidP="00AD522E">
            <w:pPr>
              <w:jc w:val="both"/>
            </w:pPr>
          </w:p>
          <w:p w:rsidR="00B132C1" w:rsidRDefault="00EB4307" w:rsidP="00AD522E">
            <w:pPr>
              <w:jc w:val="both"/>
            </w:pPr>
            <w:r>
              <w:t>While C.S.H.B 1226 may differ from the original in minor or nonsubstantive ways, the following summarizes the substantial differences between the introduced and committee substitute versions of the bill.</w:t>
            </w:r>
          </w:p>
          <w:p w:rsidR="00B132C1" w:rsidRDefault="00EB4307" w:rsidP="00AD522E">
            <w:pPr>
              <w:jc w:val="both"/>
            </w:pPr>
          </w:p>
          <w:p w:rsidR="00B132C1" w:rsidRDefault="00EB4307" w:rsidP="00AD522E">
            <w:pPr>
              <w:jc w:val="both"/>
            </w:pPr>
            <w:r>
              <w:t xml:space="preserve">The substitute includes </w:t>
            </w:r>
            <w:r w:rsidRPr="00B132C1">
              <w:t xml:space="preserve">a service vehicle used in the maintenance of an electrical power line and using </w:t>
            </w:r>
            <w:r>
              <w:t>compliant</w:t>
            </w:r>
            <w:r w:rsidRPr="00B132C1">
              <w:t xml:space="preserve"> </w:t>
            </w:r>
            <w:r w:rsidRPr="00B132C1">
              <w:t>visual</w:t>
            </w:r>
            <w:r>
              <w:t xml:space="preserve"> </w:t>
            </w:r>
            <w:r w:rsidRPr="00B132C1">
              <w:t xml:space="preserve">signals </w:t>
            </w:r>
            <w:r>
              <w:t>among the vehicles</w:t>
            </w:r>
            <w:r>
              <w:t xml:space="preserve"> afforded certain vehicle passing protections</w:t>
            </w:r>
            <w:r>
              <w:t>.</w:t>
            </w:r>
          </w:p>
          <w:p w:rsidR="00B132C1" w:rsidRPr="00B132C1" w:rsidRDefault="00EB4307" w:rsidP="00AD522E">
            <w:pPr>
              <w:jc w:val="both"/>
            </w:pPr>
          </w:p>
        </w:tc>
      </w:tr>
      <w:tr w:rsidR="0083607E" w:rsidTr="00345119">
        <w:tc>
          <w:tcPr>
            <w:tcW w:w="9576" w:type="dxa"/>
          </w:tcPr>
          <w:p w:rsidR="00951B26" w:rsidRPr="009C1E9A" w:rsidRDefault="00EB4307" w:rsidP="00AD522E">
            <w:pPr>
              <w:rPr>
                <w:b/>
                <w:u w:val="single"/>
              </w:rPr>
            </w:pPr>
          </w:p>
        </w:tc>
      </w:tr>
      <w:tr w:rsidR="0083607E" w:rsidTr="00345119">
        <w:tc>
          <w:tcPr>
            <w:tcW w:w="9576" w:type="dxa"/>
          </w:tcPr>
          <w:p w:rsidR="00951B26" w:rsidRPr="00951B26" w:rsidRDefault="00EB4307" w:rsidP="00AD522E">
            <w:pPr>
              <w:jc w:val="both"/>
            </w:pPr>
          </w:p>
        </w:tc>
      </w:tr>
    </w:tbl>
    <w:p w:rsidR="008423E4" w:rsidRPr="00BE0E75" w:rsidRDefault="00EB430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B430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B4307">
      <w:r>
        <w:separator/>
      </w:r>
    </w:p>
  </w:endnote>
  <w:endnote w:type="continuationSeparator" w:id="0">
    <w:p w:rsidR="00000000" w:rsidRDefault="00EB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B43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3607E" w:rsidTr="009C1E9A">
      <w:trPr>
        <w:cantSplit/>
      </w:trPr>
      <w:tc>
        <w:tcPr>
          <w:tcW w:w="0" w:type="pct"/>
        </w:tcPr>
        <w:p w:rsidR="00137D90" w:rsidRDefault="00EB430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B430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B430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B430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B430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3607E" w:rsidTr="009C1E9A">
      <w:trPr>
        <w:cantSplit/>
      </w:trPr>
      <w:tc>
        <w:tcPr>
          <w:tcW w:w="0" w:type="pct"/>
        </w:tcPr>
        <w:p w:rsidR="00EC379B" w:rsidRDefault="00EB430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B430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28985</w:t>
          </w:r>
        </w:p>
      </w:tc>
      <w:tc>
        <w:tcPr>
          <w:tcW w:w="2453" w:type="pct"/>
        </w:tcPr>
        <w:p w:rsidR="00EC379B" w:rsidRDefault="00EB430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19.112.1102</w:t>
          </w:r>
          <w:r>
            <w:fldChar w:fldCharType="end"/>
          </w:r>
        </w:p>
      </w:tc>
    </w:tr>
    <w:tr w:rsidR="0083607E" w:rsidTr="009C1E9A">
      <w:trPr>
        <w:cantSplit/>
      </w:trPr>
      <w:tc>
        <w:tcPr>
          <w:tcW w:w="0" w:type="pct"/>
        </w:tcPr>
        <w:p w:rsidR="00EC379B" w:rsidRDefault="00EB430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B430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20097</w:t>
          </w:r>
        </w:p>
      </w:tc>
      <w:tc>
        <w:tcPr>
          <w:tcW w:w="2453" w:type="pct"/>
        </w:tcPr>
        <w:p w:rsidR="00EC379B" w:rsidRDefault="00EB4307" w:rsidP="006D504F">
          <w:pPr>
            <w:pStyle w:val="Footer"/>
            <w:rPr>
              <w:rStyle w:val="PageNumber"/>
            </w:rPr>
          </w:pPr>
        </w:p>
        <w:p w:rsidR="00EC379B" w:rsidRDefault="00EB430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3607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B430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EB430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B430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B43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B4307">
      <w:r>
        <w:separator/>
      </w:r>
    </w:p>
  </w:footnote>
  <w:footnote w:type="continuationSeparator" w:id="0">
    <w:p w:rsidR="00000000" w:rsidRDefault="00EB4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B43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B43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B43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13B30"/>
    <w:multiLevelType w:val="hybridMultilevel"/>
    <w:tmpl w:val="E1D07A02"/>
    <w:lvl w:ilvl="0" w:tplc="F60E2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EA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E0E1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B4BF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365F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4C7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63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2AEB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0033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7E"/>
    <w:rsid w:val="0083607E"/>
    <w:rsid w:val="00EB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05FCFB-66E4-44BD-86FA-F3FCBCF1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E57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57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57B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5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57BA"/>
    <w:rPr>
      <w:b/>
      <w:bCs/>
    </w:rPr>
  </w:style>
  <w:style w:type="paragraph" w:styleId="ListParagraph">
    <w:name w:val="List Paragraph"/>
    <w:basedOn w:val="Normal"/>
    <w:uiPriority w:val="34"/>
    <w:qFormat/>
    <w:rsid w:val="00FD2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4</DocSecurity>
  <Lines>63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HB01226 (Committee Report (Substituted))</vt:lpstr>
    </vt:vector>
  </TitlesOfParts>
  <Company>State of Texas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28985</dc:subject>
  <dc:creator>State of Texas</dc:creator>
  <dc:description>HB 1226 by Lang-(H)Transportation (Substitute Document Number: 86R 20097)</dc:description>
  <cp:lastModifiedBy>Stacey Nicchio</cp:lastModifiedBy>
  <cp:revision>2</cp:revision>
  <cp:lastPrinted>2003-11-26T17:21:00Z</cp:lastPrinted>
  <dcterms:created xsi:type="dcterms:W3CDTF">2019-04-26T16:23:00Z</dcterms:created>
  <dcterms:modified xsi:type="dcterms:W3CDTF">2019-04-26T16:23:00Z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19.112.1102</vt:lpwstr>
  </property>
</Properties>
</file>