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A08E3" w:rsidTr="00345119">
        <w:tc>
          <w:tcPr>
            <w:tcW w:w="9576" w:type="dxa"/>
            <w:noWrap/>
          </w:tcPr>
          <w:p w:rsidR="008423E4" w:rsidRPr="0022177D" w:rsidRDefault="007640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407D" w:rsidP="008423E4">
      <w:pPr>
        <w:jc w:val="center"/>
      </w:pPr>
    </w:p>
    <w:p w:rsidR="008423E4" w:rsidRPr="00B31F0E" w:rsidRDefault="0076407D" w:rsidP="008423E4"/>
    <w:p w:rsidR="008423E4" w:rsidRPr="00742794" w:rsidRDefault="007640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08E3" w:rsidTr="00345119">
        <w:tc>
          <w:tcPr>
            <w:tcW w:w="9576" w:type="dxa"/>
          </w:tcPr>
          <w:p w:rsidR="008423E4" w:rsidRPr="00861995" w:rsidRDefault="0076407D" w:rsidP="00345119">
            <w:pPr>
              <w:jc w:val="right"/>
            </w:pPr>
            <w:r>
              <w:t>H.B. 1231</w:t>
            </w:r>
          </w:p>
        </w:tc>
      </w:tr>
      <w:tr w:rsidR="009A08E3" w:rsidTr="00345119">
        <w:tc>
          <w:tcPr>
            <w:tcW w:w="9576" w:type="dxa"/>
          </w:tcPr>
          <w:p w:rsidR="008423E4" w:rsidRPr="00861995" w:rsidRDefault="0076407D" w:rsidP="00123763">
            <w:pPr>
              <w:jc w:val="right"/>
            </w:pPr>
            <w:r>
              <w:t xml:space="preserve">By: </w:t>
            </w:r>
            <w:r>
              <w:t>Flynn</w:t>
            </w:r>
          </w:p>
        </w:tc>
      </w:tr>
      <w:tr w:rsidR="009A08E3" w:rsidTr="00345119">
        <w:tc>
          <w:tcPr>
            <w:tcW w:w="9576" w:type="dxa"/>
          </w:tcPr>
          <w:p w:rsidR="008423E4" w:rsidRPr="00861995" w:rsidRDefault="0076407D" w:rsidP="00345119">
            <w:pPr>
              <w:jc w:val="right"/>
            </w:pPr>
            <w:r>
              <w:t>Criminal Jurisprudence</w:t>
            </w:r>
          </w:p>
        </w:tc>
      </w:tr>
      <w:tr w:rsidR="009A08E3" w:rsidTr="00345119">
        <w:tc>
          <w:tcPr>
            <w:tcW w:w="9576" w:type="dxa"/>
          </w:tcPr>
          <w:p w:rsidR="008423E4" w:rsidRDefault="0076407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6407D" w:rsidP="008423E4">
      <w:pPr>
        <w:tabs>
          <w:tab w:val="right" w:pos="9360"/>
        </w:tabs>
      </w:pPr>
    </w:p>
    <w:p w:rsidR="008423E4" w:rsidRDefault="0076407D" w:rsidP="008423E4"/>
    <w:p w:rsidR="008423E4" w:rsidRDefault="007640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A08E3" w:rsidTr="00345119">
        <w:tc>
          <w:tcPr>
            <w:tcW w:w="9576" w:type="dxa"/>
          </w:tcPr>
          <w:p w:rsidR="008423E4" w:rsidRPr="00A8133F" w:rsidRDefault="0076407D" w:rsidP="00E16A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407D" w:rsidP="00E16A3E"/>
          <w:p w:rsidR="008423E4" w:rsidRDefault="0076407D" w:rsidP="00E16A3E">
            <w:pPr>
              <w:pStyle w:val="Header"/>
              <w:jc w:val="both"/>
            </w:pPr>
            <w:r>
              <w:t>There have been calls to provide churches, synagogues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 xml:space="preserve">other </w:t>
            </w:r>
            <w:r>
              <w:t xml:space="preserve">established </w:t>
            </w:r>
            <w:r>
              <w:t xml:space="preserve">places of worship the same right enjoyed by other private property owners to decide whether to allow a handgun license holder to carry a handgun on </w:t>
            </w:r>
            <w:r>
              <w:t xml:space="preserve">their </w:t>
            </w:r>
            <w:r>
              <w:t>premises</w:t>
            </w:r>
            <w:r>
              <w:t xml:space="preserve"> and to harmonize certain penalties </w:t>
            </w:r>
            <w:r>
              <w:t xml:space="preserve">for the unlawful carrying of </w:t>
            </w:r>
            <w:r>
              <w:t xml:space="preserve">a handgun by </w:t>
            </w:r>
            <w:r>
              <w:t>a license holder</w:t>
            </w:r>
            <w:r>
              <w:t xml:space="preserve">. </w:t>
            </w:r>
            <w:r>
              <w:t xml:space="preserve">H.B. 1231 seeks to do so by removing </w:t>
            </w:r>
            <w:r>
              <w:t>these</w:t>
            </w:r>
            <w:r w:rsidRPr="001A0814">
              <w:t xml:space="preserve"> places of worship </w:t>
            </w:r>
            <w:r>
              <w:t>from the premises on which a license holder carrying a handgun constitutes an offense</w:t>
            </w:r>
            <w:r>
              <w:t xml:space="preserve"> and by revising </w:t>
            </w:r>
            <w:r>
              <w:t xml:space="preserve">certain </w:t>
            </w:r>
            <w:r>
              <w:t>related penalties</w:t>
            </w:r>
            <w:r>
              <w:t>.</w:t>
            </w:r>
          </w:p>
          <w:p w:rsidR="008423E4" w:rsidRPr="00E26B13" w:rsidRDefault="0076407D" w:rsidP="00E16A3E">
            <w:pPr>
              <w:rPr>
                <w:b/>
              </w:rPr>
            </w:pPr>
          </w:p>
        </w:tc>
      </w:tr>
      <w:tr w:rsidR="009A08E3" w:rsidTr="00345119">
        <w:tc>
          <w:tcPr>
            <w:tcW w:w="9576" w:type="dxa"/>
          </w:tcPr>
          <w:p w:rsidR="0017725B" w:rsidRDefault="0076407D" w:rsidP="00E16A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6407D" w:rsidP="00E16A3E">
            <w:pPr>
              <w:rPr>
                <w:b/>
                <w:u w:val="single"/>
              </w:rPr>
            </w:pPr>
          </w:p>
          <w:p w:rsidR="00114939" w:rsidRPr="00114939" w:rsidRDefault="0076407D" w:rsidP="00E16A3E">
            <w:pPr>
              <w:jc w:val="both"/>
            </w:pPr>
            <w:r>
              <w:t>It is the committee's opinion that th</w:t>
            </w:r>
            <w:r>
              <w:t>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6407D" w:rsidP="00E16A3E">
            <w:pPr>
              <w:rPr>
                <w:b/>
                <w:u w:val="single"/>
              </w:rPr>
            </w:pPr>
          </w:p>
        </w:tc>
      </w:tr>
      <w:tr w:rsidR="009A08E3" w:rsidTr="00345119">
        <w:tc>
          <w:tcPr>
            <w:tcW w:w="9576" w:type="dxa"/>
          </w:tcPr>
          <w:p w:rsidR="008423E4" w:rsidRPr="00A8133F" w:rsidRDefault="0076407D" w:rsidP="00E16A3E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76407D" w:rsidP="00E16A3E"/>
          <w:p w:rsidR="00114939" w:rsidRDefault="0076407D" w:rsidP="00E16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6407D" w:rsidP="00E16A3E">
            <w:pPr>
              <w:rPr>
                <w:b/>
              </w:rPr>
            </w:pPr>
          </w:p>
        </w:tc>
      </w:tr>
      <w:tr w:rsidR="009A08E3" w:rsidTr="00345119">
        <w:tc>
          <w:tcPr>
            <w:tcW w:w="9576" w:type="dxa"/>
          </w:tcPr>
          <w:p w:rsidR="008423E4" w:rsidRPr="00A8133F" w:rsidRDefault="0076407D" w:rsidP="00E16A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6407D" w:rsidP="00E16A3E"/>
          <w:p w:rsidR="00483831" w:rsidRDefault="0076407D" w:rsidP="00E16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1231 amends the Penal Code </w:t>
            </w:r>
            <w:r>
              <w:t>to remove the premises of a church</w:t>
            </w:r>
            <w:r>
              <w:t xml:space="preserve">, synagogue, or other established place of religious worship from </w:t>
            </w:r>
            <w:r>
              <w:t xml:space="preserve">the </w:t>
            </w:r>
            <w:r>
              <w:t xml:space="preserve">premises on which </w:t>
            </w:r>
            <w:r>
              <w:t>the</w:t>
            </w:r>
            <w:r>
              <w:t xml:space="preserve"> intentional, knowing, or reckless carr</w:t>
            </w:r>
            <w:r>
              <w:t>ying</w:t>
            </w:r>
            <w:r>
              <w:t xml:space="preserve"> </w:t>
            </w:r>
            <w:r>
              <w:t xml:space="preserve">of </w:t>
            </w:r>
            <w:r>
              <w:t>a handgun</w:t>
            </w:r>
            <w:r>
              <w:t xml:space="preserve"> by a handgun license</w:t>
            </w:r>
            <w:r>
              <w:t xml:space="preserve"> </w:t>
            </w:r>
            <w:r>
              <w:t xml:space="preserve">holder </w:t>
            </w:r>
            <w:r>
              <w:t>constitutes an offense</w:t>
            </w:r>
            <w:r>
              <w:t xml:space="preserve">. </w:t>
            </w:r>
          </w:p>
          <w:p w:rsidR="00483831" w:rsidRDefault="0076407D" w:rsidP="00E16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83831" w:rsidRDefault="0076407D" w:rsidP="00E16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1231</w:t>
            </w:r>
            <w:r>
              <w:t xml:space="preserve"> </w:t>
            </w:r>
            <w:r>
              <w:t xml:space="preserve">changes </w:t>
            </w:r>
            <w:r>
              <w:t xml:space="preserve">the penalty for </w:t>
            </w:r>
            <w:r>
              <w:t xml:space="preserve">the </w:t>
            </w:r>
            <w:r>
              <w:t>unlawful carryin</w:t>
            </w:r>
            <w:r>
              <w:t>g of a handgun</w:t>
            </w:r>
            <w:r>
              <w:t xml:space="preserve"> </w:t>
            </w:r>
            <w:r>
              <w:t xml:space="preserve">by a license holder </w:t>
            </w:r>
            <w:r>
              <w:t>from a Class A misdemeanor to a Class C misdemeanor punishable by a fine not to exceed $200 if the offense occurs in the following places:</w:t>
            </w:r>
            <w:r>
              <w:t xml:space="preserve"> </w:t>
            </w:r>
          </w:p>
          <w:p w:rsidR="00483831" w:rsidRDefault="0076407D" w:rsidP="00E16A3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in the room or rooms where a public meeting of a governmental entity is held</w:t>
            </w:r>
            <w:r>
              <w:t xml:space="preserve"> with</w:t>
            </w:r>
            <w:r>
              <w:t xml:space="preserve"> required notice</w:t>
            </w:r>
            <w:r>
              <w:t>;</w:t>
            </w:r>
            <w:r>
              <w:t xml:space="preserve"> </w:t>
            </w:r>
          </w:p>
          <w:p w:rsidR="00483831" w:rsidRDefault="0076407D" w:rsidP="00E16A3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on the premises of a licensed hospital or nursing facility</w:t>
            </w:r>
            <w:r>
              <w:t xml:space="preserve"> with</w:t>
            </w:r>
            <w:r>
              <w:t>out</w:t>
            </w:r>
            <w:r>
              <w:t xml:space="preserve"> appropriate written authorization</w:t>
            </w:r>
            <w:r>
              <w:t>;</w:t>
            </w:r>
            <w:r>
              <w:t xml:space="preserve"> or</w:t>
            </w:r>
            <w:r>
              <w:t xml:space="preserve"> </w:t>
            </w:r>
          </w:p>
          <w:p w:rsidR="00483831" w:rsidRDefault="0076407D" w:rsidP="00E16A3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in </w:t>
            </w:r>
            <w:r>
              <w:t>a</w:t>
            </w:r>
            <w:r>
              <w:t>n amusement park</w:t>
            </w:r>
            <w:r>
              <w:t>.</w:t>
            </w:r>
            <w:r>
              <w:t xml:space="preserve"> </w:t>
            </w:r>
          </w:p>
          <w:p w:rsidR="008423E4" w:rsidRPr="006E08EB" w:rsidRDefault="0076407D" w:rsidP="00E16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penalty for such </w:t>
            </w:r>
            <w:r>
              <w:t>conduct</w:t>
            </w:r>
            <w:r>
              <w:t xml:space="preserve"> </w:t>
            </w:r>
            <w:r>
              <w:t>remains</w:t>
            </w:r>
            <w:r>
              <w:t xml:space="preserve"> </w:t>
            </w:r>
            <w:r>
              <w:t xml:space="preserve">a Class A misdemeanor </w:t>
            </w:r>
            <w:r w:rsidRPr="006E08EB">
              <w:t xml:space="preserve">if it is shown on the trial of the offense that, after entering the </w:t>
            </w:r>
            <w:r>
              <w:t xml:space="preserve">applicable </w:t>
            </w:r>
            <w:r w:rsidRPr="006E08EB">
              <w:t xml:space="preserve">property, the license holder was personally given notice by oral communication </w:t>
            </w:r>
            <w:r>
              <w:t xml:space="preserve">under applicable statutory provisions </w:t>
            </w:r>
            <w:r w:rsidRPr="006E08EB">
              <w:t>that entry on the property was forbidden and subsequently fa</w:t>
            </w:r>
            <w:r w:rsidRPr="006E08EB">
              <w:t>iled to depart.</w:t>
            </w:r>
            <w:r>
              <w:t xml:space="preserve">       </w:t>
            </w:r>
          </w:p>
          <w:p w:rsidR="008423E4" w:rsidRPr="00835628" w:rsidRDefault="0076407D" w:rsidP="00E16A3E">
            <w:pPr>
              <w:rPr>
                <w:b/>
              </w:rPr>
            </w:pPr>
          </w:p>
        </w:tc>
      </w:tr>
      <w:tr w:rsidR="009A08E3" w:rsidTr="00345119">
        <w:tc>
          <w:tcPr>
            <w:tcW w:w="9576" w:type="dxa"/>
          </w:tcPr>
          <w:p w:rsidR="008423E4" w:rsidRPr="00A8133F" w:rsidRDefault="0076407D" w:rsidP="00E16A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6407D" w:rsidP="00E16A3E"/>
          <w:p w:rsidR="008423E4" w:rsidRPr="00233FDB" w:rsidRDefault="0076407D" w:rsidP="004D0FE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2019.</w:t>
            </w:r>
          </w:p>
        </w:tc>
      </w:tr>
    </w:tbl>
    <w:p w:rsidR="004108C3" w:rsidRPr="008423E4" w:rsidRDefault="0076407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407D">
      <w:r>
        <w:separator/>
      </w:r>
    </w:p>
  </w:endnote>
  <w:endnote w:type="continuationSeparator" w:id="0">
    <w:p w:rsidR="00000000" w:rsidRDefault="0076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4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08E3" w:rsidTr="009C1E9A">
      <w:trPr>
        <w:cantSplit/>
      </w:trPr>
      <w:tc>
        <w:tcPr>
          <w:tcW w:w="0" w:type="pct"/>
        </w:tcPr>
        <w:p w:rsidR="00137D90" w:rsidRDefault="007640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640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640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40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40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08E3" w:rsidTr="009C1E9A">
      <w:trPr>
        <w:cantSplit/>
      </w:trPr>
      <w:tc>
        <w:tcPr>
          <w:tcW w:w="0" w:type="pct"/>
        </w:tcPr>
        <w:p w:rsidR="00EC379B" w:rsidRDefault="007640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40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28033</w:t>
          </w:r>
        </w:p>
      </w:tc>
      <w:tc>
        <w:tcPr>
          <w:tcW w:w="2453" w:type="pct"/>
        </w:tcPr>
        <w:p w:rsidR="00EC379B" w:rsidRDefault="007640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19.107.404</w:t>
          </w:r>
          <w:r>
            <w:fldChar w:fldCharType="end"/>
          </w:r>
        </w:p>
      </w:tc>
    </w:tr>
    <w:tr w:rsidR="009A08E3" w:rsidTr="009C1E9A">
      <w:trPr>
        <w:cantSplit/>
      </w:trPr>
      <w:tc>
        <w:tcPr>
          <w:tcW w:w="0" w:type="pct"/>
        </w:tcPr>
        <w:p w:rsidR="00EC379B" w:rsidRDefault="007640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40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6407D" w:rsidP="006D504F">
          <w:pPr>
            <w:pStyle w:val="Footer"/>
            <w:rPr>
              <w:rStyle w:val="PageNumber"/>
            </w:rPr>
          </w:pPr>
        </w:p>
        <w:p w:rsidR="00EC379B" w:rsidRDefault="007640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08E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40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640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40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4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407D">
      <w:r>
        <w:separator/>
      </w:r>
    </w:p>
  </w:footnote>
  <w:footnote w:type="continuationSeparator" w:id="0">
    <w:p w:rsidR="00000000" w:rsidRDefault="0076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4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4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4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801"/>
    <w:multiLevelType w:val="hybridMultilevel"/>
    <w:tmpl w:val="056428B0"/>
    <w:lvl w:ilvl="0" w:tplc="C5FAA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00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627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86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A2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23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86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00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265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34B"/>
    <w:multiLevelType w:val="hybridMultilevel"/>
    <w:tmpl w:val="0D6AE3AC"/>
    <w:lvl w:ilvl="0" w:tplc="2E3C1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A4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2B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01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7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C6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60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A2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2F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E3"/>
    <w:rsid w:val="0076407D"/>
    <w:rsid w:val="009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54EE1B-B74C-4E1E-9AA1-A76C9E00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08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0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08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08EB"/>
    <w:rPr>
      <w:b/>
      <w:bCs/>
    </w:rPr>
  </w:style>
  <w:style w:type="paragraph" w:styleId="Revision">
    <w:name w:val="Revision"/>
    <w:hidden/>
    <w:uiPriority w:val="99"/>
    <w:semiHidden/>
    <w:rsid w:val="00CA3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1859</Characters>
  <Application>Microsoft Office Word</Application>
  <DocSecurity>4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HB01231 (Committee Report (Unamended))</vt:lpstr>
    </vt:vector>
  </TitlesOfParts>
  <Company>State of Texas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28033</dc:subject>
  <dc:creator>State of Texas</dc:creator>
  <dc:description>HB 1231 by Flynn-(H)Criminal Jurisprudence</dc:description>
  <cp:lastModifiedBy>Damian Duarte</cp:lastModifiedBy>
  <cp:revision>2</cp:revision>
  <cp:lastPrinted>2003-11-26T17:21:00Z</cp:lastPrinted>
  <dcterms:created xsi:type="dcterms:W3CDTF">2019-05-06T23:31:00Z</dcterms:created>
  <dcterms:modified xsi:type="dcterms:W3CDTF">2019-05-06T23:31:00Z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19.107.404</vt:lpwstr>
  </property>
</Properties>
</file>