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E65FE" w:rsidTr="00345119">
        <w:tc>
          <w:tcPr>
            <w:tcW w:w="9576" w:type="dxa"/>
            <w:noWrap/>
          </w:tcPr>
          <w:p w:rsidR="008423E4" w:rsidRPr="0022177D" w:rsidRDefault="00BC631E" w:rsidP="00345119">
            <w:pPr>
              <w:pStyle w:val="Heading1"/>
            </w:pPr>
            <w:bookmarkStart w:id="0" w:name="_GoBack"/>
            <w:bookmarkEnd w:id="0"/>
            <w:r w:rsidRPr="00631897">
              <w:t>BILL ANALYSIS</w:t>
            </w:r>
          </w:p>
        </w:tc>
      </w:tr>
    </w:tbl>
    <w:p w:rsidR="008423E4" w:rsidRPr="0022177D" w:rsidRDefault="00BC631E" w:rsidP="008423E4">
      <w:pPr>
        <w:jc w:val="center"/>
      </w:pPr>
    </w:p>
    <w:p w:rsidR="008423E4" w:rsidRPr="00B31F0E" w:rsidRDefault="00BC631E" w:rsidP="008423E4"/>
    <w:p w:rsidR="008423E4" w:rsidRPr="00742794" w:rsidRDefault="00BC631E" w:rsidP="008423E4">
      <w:pPr>
        <w:tabs>
          <w:tab w:val="right" w:pos="9360"/>
        </w:tabs>
      </w:pPr>
    </w:p>
    <w:tbl>
      <w:tblPr>
        <w:tblW w:w="0" w:type="auto"/>
        <w:tblLayout w:type="fixed"/>
        <w:tblLook w:val="01E0" w:firstRow="1" w:lastRow="1" w:firstColumn="1" w:lastColumn="1" w:noHBand="0" w:noVBand="0"/>
      </w:tblPr>
      <w:tblGrid>
        <w:gridCol w:w="9576"/>
      </w:tblGrid>
      <w:tr w:rsidR="00CE65FE" w:rsidTr="00345119">
        <w:tc>
          <w:tcPr>
            <w:tcW w:w="9576" w:type="dxa"/>
          </w:tcPr>
          <w:p w:rsidR="008423E4" w:rsidRPr="00861995" w:rsidRDefault="00BC631E" w:rsidP="00345119">
            <w:pPr>
              <w:jc w:val="right"/>
            </w:pPr>
            <w:r>
              <w:t>H.B. 1240</w:t>
            </w:r>
          </w:p>
        </w:tc>
      </w:tr>
      <w:tr w:rsidR="00CE65FE" w:rsidTr="00345119">
        <w:tc>
          <w:tcPr>
            <w:tcW w:w="9576" w:type="dxa"/>
          </w:tcPr>
          <w:p w:rsidR="008423E4" w:rsidRPr="00861995" w:rsidRDefault="00BC631E" w:rsidP="00215FC6">
            <w:pPr>
              <w:jc w:val="right"/>
            </w:pPr>
            <w:r>
              <w:t xml:space="preserve">By: </w:t>
            </w:r>
            <w:r>
              <w:t>Davis, Yvonne</w:t>
            </w:r>
          </w:p>
        </w:tc>
      </w:tr>
      <w:tr w:rsidR="00CE65FE" w:rsidTr="00345119">
        <w:tc>
          <w:tcPr>
            <w:tcW w:w="9576" w:type="dxa"/>
          </w:tcPr>
          <w:p w:rsidR="008423E4" w:rsidRPr="00861995" w:rsidRDefault="00BC631E" w:rsidP="00345119">
            <w:pPr>
              <w:jc w:val="right"/>
            </w:pPr>
            <w:r>
              <w:t>Criminal Jurisprudence</w:t>
            </w:r>
          </w:p>
        </w:tc>
      </w:tr>
      <w:tr w:rsidR="00CE65FE" w:rsidTr="00345119">
        <w:tc>
          <w:tcPr>
            <w:tcW w:w="9576" w:type="dxa"/>
          </w:tcPr>
          <w:p w:rsidR="008423E4" w:rsidRDefault="00BC631E" w:rsidP="00345119">
            <w:pPr>
              <w:jc w:val="right"/>
            </w:pPr>
            <w:r>
              <w:t>Committee Report (Unamended)</w:t>
            </w:r>
          </w:p>
        </w:tc>
      </w:tr>
    </w:tbl>
    <w:p w:rsidR="008423E4" w:rsidRDefault="00BC631E" w:rsidP="008423E4">
      <w:pPr>
        <w:tabs>
          <w:tab w:val="right" w:pos="9360"/>
        </w:tabs>
      </w:pPr>
    </w:p>
    <w:p w:rsidR="008423E4" w:rsidRDefault="00BC631E" w:rsidP="008423E4"/>
    <w:p w:rsidR="008423E4" w:rsidRDefault="00BC631E" w:rsidP="008423E4"/>
    <w:tbl>
      <w:tblPr>
        <w:tblW w:w="0" w:type="auto"/>
        <w:tblCellMar>
          <w:left w:w="115" w:type="dxa"/>
          <w:right w:w="115" w:type="dxa"/>
        </w:tblCellMar>
        <w:tblLook w:val="01E0" w:firstRow="1" w:lastRow="1" w:firstColumn="1" w:lastColumn="1" w:noHBand="0" w:noVBand="0"/>
      </w:tblPr>
      <w:tblGrid>
        <w:gridCol w:w="9576"/>
      </w:tblGrid>
      <w:tr w:rsidR="00CE65FE" w:rsidTr="00345119">
        <w:tc>
          <w:tcPr>
            <w:tcW w:w="9576" w:type="dxa"/>
          </w:tcPr>
          <w:p w:rsidR="008423E4" w:rsidRPr="00A8133F" w:rsidRDefault="00BC631E" w:rsidP="00B81748">
            <w:pPr>
              <w:rPr>
                <w:b/>
              </w:rPr>
            </w:pPr>
            <w:r w:rsidRPr="009C1E9A">
              <w:rPr>
                <w:b/>
                <w:u w:val="single"/>
              </w:rPr>
              <w:t>BACKGROUND AND PURPOSE</w:t>
            </w:r>
            <w:r>
              <w:rPr>
                <w:b/>
              </w:rPr>
              <w:t xml:space="preserve"> </w:t>
            </w:r>
          </w:p>
          <w:p w:rsidR="008423E4" w:rsidRDefault="00BC631E" w:rsidP="00B81748"/>
          <w:p w:rsidR="008423E4" w:rsidRDefault="00BC631E" w:rsidP="00B81748">
            <w:pPr>
              <w:pStyle w:val="Header"/>
              <w:tabs>
                <w:tab w:val="clear" w:pos="4320"/>
                <w:tab w:val="clear" w:pos="8640"/>
              </w:tabs>
              <w:jc w:val="both"/>
            </w:pPr>
            <w:r w:rsidRPr="00B715CE">
              <w:t xml:space="preserve">Concerns have been raised </w:t>
            </w:r>
            <w:r>
              <w:t>regarding</w:t>
            </w:r>
            <w:r w:rsidRPr="00B715CE">
              <w:t xml:space="preserve"> the penalty for subsequent misdemeanor theft offenses. It has been suggested that the penalty for certain subsequent thefts may prove too stringent when considering the period in which the offender committed the offenses, which could span several years, a</w:t>
            </w:r>
            <w:r w:rsidRPr="00B715CE">
              <w:t xml:space="preserve">nd the value of the items stolen, which may total less than $100. H.B. 1240 seeks to address this issue by revising the applicable period </w:t>
            </w:r>
            <w:r>
              <w:t>during which previous convictions for theft</w:t>
            </w:r>
            <w:r w:rsidRPr="00B715CE">
              <w:t xml:space="preserve"> offense</w:t>
            </w:r>
            <w:r>
              <w:t xml:space="preserve">s occurred </w:t>
            </w:r>
            <w:r w:rsidRPr="00B715CE">
              <w:t>for purposes of enhanc</w:t>
            </w:r>
            <w:r>
              <w:t>ed penalties</w:t>
            </w:r>
            <w:r w:rsidRPr="00B715CE">
              <w:t xml:space="preserve"> </w:t>
            </w:r>
            <w:r>
              <w:t>and establishing cert</w:t>
            </w:r>
            <w:r>
              <w:t>ain stolen property value thresholds for those purposes</w:t>
            </w:r>
            <w:r>
              <w:t>.</w:t>
            </w:r>
          </w:p>
          <w:p w:rsidR="008423E4" w:rsidRPr="00E26B13" w:rsidRDefault="00BC631E" w:rsidP="00B81748">
            <w:pPr>
              <w:rPr>
                <w:b/>
              </w:rPr>
            </w:pPr>
          </w:p>
        </w:tc>
      </w:tr>
      <w:tr w:rsidR="00CE65FE" w:rsidTr="00345119">
        <w:tc>
          <w:tcPr>
            <w:tcW w:w="9576" w:type="dxa"/>
          </w:tcPr>
          <w:p w:rsidR="0017725B" w:rsidRDefault="00BC631E" w:rsidP="00B81748">
            <w:pPr>
              <w:rPr>
                <w:b/>
                <w:u w:val="single"/>
              </w:rPr>
            </w:pPr>
            <w:r>
              <w:rPr>
                <w:b/>
                <w:u w:val="single"/>
              </w:rPr>
              <w:t>CRIMINAL JUSTICE IMPACT</w:t>
            </w:r>
          </w:p>
          <w:p w:rsidR="0017725B" w:rsidRDefault="00BC631E" w:rsidP="00B81748">
            <w:pPr>
              <w:rPr>
                <w:b/>
                <w:u w:val="single"/>
              </w:rPr>
            </w:pPr>
          </w:p>
          <w:p w:rsidR="006C7902" w:rsidRPr="006C7902" w:rsidRDefault="00BC631E" w:rsidP="00B81748">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rsidR="0017725B" w:rsidRPr="0017725B" w:rsidRDefault="00BC631E" w:rsidP="00B81748">
            <w:pPr>
              <w:rPr>
                <w:b/>
                <w:u w:val="single"/>
              </w:rPr>
            </w:pPr>
          </w:p>
        </w:tc>
      </w:tr>
      <w:tr w:rsidR="00CE65FE" w:rsidTr="00345119">
        <w:tc>
          <w:tcPr>
            <w:tcW w:w="9576" w:type="dxa"/>
          </w:tcPr>
          <w:p w:rsidR="008423E4" w:rsidRPr="00A8133F" w:rsidRDefault="00BC631E" w:rsidP="00B81748">
            <w:pPr>
              <w:rPr>
                <w:b/>
              </w:rPr>
            </w:pPr>
            <w:r w:rsidRPr="009C1E9A">
              <w:rPr>
                <w:b/>
                <w:u w:val="single"/>
              </w:rPr>
              <w:t>RULEMAKING AUTHORITY</w:t>
            </w:r>
            <w:r>
              <w:rPr>
                <w:b/>
              </w:rPr>
              <w:t xml:space="preserve"> </w:t>
            </w:r>
          </w:p>
          <w:p w:rsidR="008423E4" w:rsidRDefault="00BC631E" w:rsidP="00B81748"/>
          <w:p w:rsidR="006C7902" w:rsidRDefault="00BC631E" w:rsidP="00B81748">
            <w:pPr>
              <w:pStyle w:val="Header"/>
              <w:tabs>
                <w:tab w:val="clear" w:pos="4320"/>
                <w:tab w:val="clear" w:pos="8640"/>
              </w:tabs>
              <w:jc w:val="both"/>
            </w:pPr>
            <w:r>
              <w:t>It is the committee's opinion that this bill does not expressly grant any additional rulemaking authority to a state officer, depar</w:t>
            </w:r>
            <w:r>
              <w:t>tment, agency, or institution.</w:t>
            </w:r>
          </w:p>
          <w:p w:rsidR="008423E4" w:rsidRPr="00E21FDC" w:rsidRDefault="00BC631E" w:rsidP="00B81748">
            <w:pPr>
              <w:rPr>
                <w:b/>
              </w:rPr>
            </w:pPr>
          </w:p>
        </w:tc>
      </w:tr>
      <w:tr w:rsidR="00CE65FE" w:rsidTr="00345119">
        <w:tc>
          <w:tcPr>
            <w:tcW w:w="9576" w:type="dxa"/>
          </w:tcPr>
          <w:p w:rsidR="008423E4" w:rsidRPr="00A8133F" w:rsidRDefault="00BC631E" w:rsidP="00B81748">
            <w:pPr>
              <w:rPr>
                <w:b/>
              </w:rPr>
            </w:pPr>
            <w:r w:rsidRPr="009C1E9A">
              <w:rPr>
                <w:b/>
                <w:u w:val="single"/>
              </w:rPr>
              <w:t>ANALYSIS</w:t>
            </w:r>
            <w:r>
              <w:rPr>
                <w:b/>
              </w:rPr>
              <w:t xml:space="preserve"> </w:t>
            </w:r>
          </w:p>
          <w:p w:rsidR="008423E4" w:rsidRDefault="00BC631E" w:rsidP="00B81748"/>
          <w:p w:rsidR="00B21FDD" w:rsidRDefault="00BC631E" w:rsidP="00B81748">
            <w:pPr>
              <w:pStyle w:val="Header"/>
              <w:jc w:val="both"/>
            </w:pPr>
            <w:r>
              <w:t xml:space="preserve">H.B. 1240 amends the Penal Code to </w:t>
            </w:r>
            <w:r>
              <w:t xml:space="preserve">restrict </w:t>
            </w:r>
            <w:r>
              <w:t>the</w:t>
            </w:r>
            <w:r>
              <w:t xml:space="preserve"> conduct constituting a</w:t>
            </w:r>
            <w:r>
              <w:t xml:space="preserve"> Class B misdemeanor </w:t>
            </w:r>
            <w:r>
              <w:t xml:space="preserve">theft </w:t>
            </w:r>
            <w:r>
              <w:t>offense</w:t>
            </w:r>
            <w:r>
              <w:t xml:space="preserve"> </w:t>
            </w:r>
            <w:r>
              <w:t xml:space="preserve">for the theft of </w:t>
            </w:r>
            <w:r>
              <w:t xml:space="preserve">property valued at less than $100 in which the defendant has previously been convicted of </w:t>
            </w:r>
            <w:r>
              <w:t>any grade of theft to</w:t>
            </w:r>
            <w:r>
              <w:t xml:space="preserve"> a</w:t>
            </w:r>
            <w:r>
              <w:t xml:space="preserve"> </w:t>
            </w:r>
            <w:r>
              <w:t>theft</w:t>
            </w:r>
            <w:r>
              <w:t xml:space="preserve"> </w:t>
            </w:r>
            <w:r>
              <w:t xml:space="preserve">offense </w:t>
            </w:r>
            <w:r>
              <w:t xml:space="preserve">in which the value </w:t>
            </w:r>
            <w:r w:rsidRPr="001B205D">
              <w:t>of the property stolen is less than $100 and the defendant has, in the five-year period preceding the date of commission of the instant offense, previously been convicted two or more times of any gra</w:t>
            </w:r>
            <w:r w:rsidRPr="001B205D">
              <w:t>de of theft</w:t>
            </w:r>
            <w:r>
              <w:t xml:space="preserve">. </w:t>
            </w:r>
            <w:r>
              <w:t>The bill</w:t>
            </w:r>
            <w:r>
              <w:t xml:space="preserve"> expands the conduct that constitutes a Class A misdemeanor theft offense to include </w:t>
            </w:r>
            <w:r>
              <w:t xml:space="preserve">theft of property </w:t>
            </w:r>
            <w:r w:rsidRPr="00850661">
              <w:t>value</w:t>
            </w:r>
            <w:r>
              <w:t>d at</w:t>
            </w:r>
            <w:r w:rsidRPr="00850661">
              <w:t xml:space="preserve"> $100 or more but less than $750 </w:t>
            </w:r>
            <w:r>
              <w:t xml:space="preserve">when </w:t>
            </w:r>
            <w:r w:rsidRPr="00850661">
              <w:t>the defendant has, in the five-year period preceding the date of commission of the in</w:t>
            </w:r>
            <w:r w:rsidRPr="00850661">
              <w:t>stant offense, previously been convicted two or m</w:t>
            </w:r>
            <w:r>
              <w:t>ore times of any grade of theft.</w:t>
            </w:r>
            <w:r>
              <w:t xml:space="preserve"> </w:t>
            </w:r>
            <w:r>
              <w:t>The bill</w:t>
            </w:r>
            <w:r>
              <w:t xml:space="preserve"> </w:t>
            </w:r>
            <w:r>
              <w:t>sets at $750 the minimum value of property stolen that, with two previous theft offense convictions, constitutes a</w:t>
            </w:r>
            <w:r w:rsidRPr="001B205D">
              <w:t xml:space="preserve"> </w:t>
            </w:r>
            <w:r>
              <w:t>state jail felony</w:t>
            </w:r>
            <w:r w:rsidRPr="001B205D">
              <w:t xml:space="preserve"> </w:t>
            </w:r>
            <w:r>
              <w:t xml:space="preserve">theft </w:t>
            </w:r>
            <w:r w:rsidRPr="001B205D">
              <w:t>offense</w:t>
            </w:r>
            <w:r>
              <w:t xml:space="preserve"> and clarifies that</w:t>
            </w:r>
            <w:r>
              <w:t xml:space="preserve"> such conduct applies regardless of the period within which the previous convictions occurred</w:t>
            </w:r>
            <w:r>
              <w:t>.</w:t>
            </w:r>
          </w:p>
          <w:p w:rsidR="008423E4" w:rsidRPr="00835628" w:rsidRDefault="00BC631E" w:rsidP="00B81748">
            <w:pPr>
              <w:rPr>
                <w:b/>
              </w:rPr>
            </w:pPr>
            <w:r>
              <w:rPr>
                <w:b/>
              </w:rPr>
              <w:t xml:space="preserve">    </w:t>
            </w:r>
          </w:p>
        </w:tc>
      </w:tr>
      <w:tr w:rsidR="00CE65FE" w:rsidTr="00345119">
        <w:tc>
          <w:tcPr>
            <w:tcW w:w="9576" w:type="dxa"/>
          </w:tcPr>
          <w:p w:rsidR="008423E4" w:rsidRPr="00A8133F" w:rsidRDefault="00BC631E" w:rsidP="00B81748">
            <w:pPr>
              <w:rPr>
                <w:b/>
              </w:rPr>
            </w:pPr>
            <w:r w:rsidRPr="009C1E9A">
              <w:rPr>
                <w:b/>
                <w:u w:val="single"/>
              </w:rPr>
              <w:t>EFFECTIVE DATE</w:t>
            </w:r>
            <w:r>
              <w:rPr>
                <w:b/>
              </w:rPr>
              <w:t xml:space="preserve"> </w:t>
            </w:r>
          </w:p>
          <w:p w:rsidR="008423E4" w:rsidRDefault="00BC631E" w:rsidP="00B81748"/>
          <w:p w:rsidR="008423E4" w:rsidRPr="003624F2" w:rsidRDefault="00BC631E" w:rsidP="00B81748">
            <w:pPr>
              <w:pStyle w:val="Header"/>
              <w:tabs>
                <w:tab w:val="clear" w:pos="4320"/>
                <w:tab w:val="clear" w:pos="8640"/>
              </w:tabs>
              <w:jc w:val="both"/>
            </w:pPr>
            <w:r>
              <w:t>September 1, 2019.</w:t>
            </w:r>
          </w:p>
          <w:p w:rsidR="008423E4" w:rsidRPr="00233FDB" w:rsidRDefault="00BC631E" w:rsidP="00B81748">
            <w:pPr>
              <w:rPr>
                <w:b/>
              </w:rPr>
            </w:pPr>
          </w:p>
        </w:tc>
      </w:tr>
    </w:tbl>
    <w:p w:rsidR="008423E4" w:rsidRPr="00BE0E75" w:rsidRDefault="00BC631E" w:rsidP="008423E4">
      <w:pPr>
        <w:spacing w:line="480" w:lineRule="auto"/>
        <w:jc w:val="both"/>
        <w:rPr>
          <w:rFonts w:ascii="Arial" w:hAnsi="Arial"/>
          <w:sz w:val="16"/>
          <w:szCs w:val="16"/>
        </w:rPr>
      </w:pPr>
    </w:p>
    <w:p w:rsidR="004108C3" w:rsidRPr="008423E4" w:rsidRDefault="00BC631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631E">
      <w:r>
        <w:separator/>
      </w:r>
    </w:p>
  </w:endnote>
  <w:endnote w:type="continuationSeparator" w:id="0">
    <w:p w:rsidR="00000000" w:rsidRDefault="00BC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C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E65FE" w:rsidTr="009C1E9A">
      <w:trPr>
        <w:cantSplit/>
      </w:trPr>
      <w:tc>
        <w:tcPr>
          <w:tcW w:w="0" w:type="pct"/>
        </w:tcPr>
        <w:p w:rsidR="00137D90" w:rsidRDefault="00BC631E" w:rsidP="009C1E9A">
          <w:pPr>
            <w:pStyle w:val="Footer"/>
            <w:tabs>
              <w:tab w:val="clear" w:pos="8640"/>
              <w:tab w:val="right" w:pos="9360"/>
            </w:tabs>
          </w:pPr>
        </w:p>
      </w:tc>
      <w:tc>
        <w:tcPr>
          <w:tcW w:w="2395" w:type="pct"/>
        </w:tcPr>
        <w:p w:rsidR="00137D90" w:rsidRDefault="00BC631E" w:rsidP="009C1E9A">
          <w:pPr>
            <w:pStyle w:val="Footer"/>
            <w:tabs>
              <w:tab w:val="clear" w:pos="8640"/>
              <w:tab w:val="right" w:pos="9360"/>
            </w:tabs>
          </w:pPr>
        </w:p>
        <w:p w:rsidR="001A4310" w:rsidRDefault="00BC631E" w:rsidP="009C1E9A">
          <w:pPr>
            <w:pStyle w:val="Footer"/>
            <w:tabs>
              <w:tab w:val="clear" w:pos="8640"/>
              <w:tab w:val="right" w:pos="9360"/>
            </w:tabs>
          </w:pPr>
        </w:p>
        <w:p w:rsidR="00137D90" w:rsidRDefault="00BC631E" w:rsidP="009C1E9A">
          <w:pPr>
            <w:pStyle w:val="Footer"/>
            <w:tabs>
              <w:tab w:val="clear" w:pos="8640"/>
              <w:tab w:val="right" w:pos="9360"/>
            </w:tabs>
          </w:pPr>
        </w:p>
      </w:tc>
      <w:tc>
        <w:tcPr>
          <w:tcW w:w="2453" w:type="pct"/>
        </w:tcPr>
        <w:p w:rsidR="00137D90" w:rsidRDefault="00BC631E" w:rsidP="009C1E9A">
          <w:pPr>
            <w:pStyle w:val="Footer"/>
            <w:tabs>
              <w:tab w:val="clear" w:pos="8640"/>
              <w:tab w:val="right" w:pos="9360"/>
            </w:tabs>
            <w:jc w:val="right"/>
          </w:pPr>
        </w:p>
      </w:tc>
    </w:tr>
    <w:tr w:rsidR="00CE65FE" w:rsidTr="009C1E9A">
      <w:trPr>
        <w:cantSplit/>
      </w:trPr>
      <w:tc>
        <w:tcPr>
          <w:tcW w:w="0" w:type="pct"/>
        </w:tcPr>
        <w:p w:rsidR="00EC379B" w:rsidRDefault="00BC631E" w:rsidP="009C1E9A">
          <w:pPr>
            <w:pStyle w:val="Footer"/>
            <w:tabs>
              <w:tab w:val="clear" w:pos="8640"/>
              <w:tab w:val="right" w:pos="9360"/>
            </w:tabs>
          </w:pPr>
        </w:p>
      </w:tc>
      <w:tc>
        <w:tcPr>
          <w:tcW w:w="2395" w:type="pct"/>
        </w:tcPr>
        <w:p w:rsidR="00EC379B" w:rsidRPr="009C1E9A" w:rsidRDefault="00BC631E" w:rsidP="009C1E9A">
          <w:pPr>
            <w:pStyle w:val="Footer"/>
            <w:tabs>
              <w:tab w:val="clear" w:pos="8640"/>
              <w:tab w:val="right" w:pos="9360"/>
            </w:tabs>
            <w:rPr>
              <w:rFonts w:ascii="Shruti" w:hAnsi="Shruti"/>
              <w:sz w:val="22"/>
            </w:rPr>
          </w:pPr>
          <w:r>
            <w:rPr>
              <w:rFonts w:ascii="Shruti" w:hAnsi="Shruti"/>
              <w:sz w:val="22"/>
            </w:rPr>
            <w:t>86R 20896</w:t>
          </w:r>
        </w:p>
      </w:tc>
      <w:tc>
        <w:tcPr>
          <w:tcW w:w="2453" w:type="pct"/>
        </w:tcPr>
        <w:p w:rsidR="00EC379B" w:rsidRDefault="00BC631E" w:rsidP="009C1E9A">
          <w:pPr>
            <w:pStyle w:val="Footer"/>
            <w:tabs>
              <w:tab w:val="clear" w:pos="8640"/>
              <w:tab w:val="right" w:pos="9360"/>
            </w:tabs>
            <w:jc w:val="right"/>
          </w:pPr>
          <w:r>
            <w:fldChar w:fldCharType="begin"/>
          </w:r>
          <w:r>
            <w:instrText xml:space="preserve"> DOCPROPERTY  OTID  \* MERGEFORMAT </w:instrText>
          </w:r>
          <w:r>
            <w:fldChar w:fldCharType="separate"/>
          </w:r>
          <w:r>
            <w:t>19.79.1262</w:t>
          </w:r>
          <w:r>
            <w:fldChar w:fldCharType="end"/>
          </w:r>
        </w:p>
      </w:tc>
    </w:tr>
    <w:tr w:rsidR="00CE65FE" w:rsidTr="009C1E9A">
      <w:trPr>
        <w:cantSplit/>
      </w:trPr>
      <w:tc>
        <w:tcPr>
          <w:tcW w:w="0" w:type="pct"/>
        </w:tcPr>
        <w:p w:rsidR="00EC379B" w:rsidRDefault="00BC631E" w:rsidP="009C1E9A">
          <w:pPr>
            <w:pStyle w:val="Footer"/>
            <w:tabs>
              <w:tab w:val="clear" w:pos="4320"/>
              <w:tab w:val="clear" w:pos="8640"/>
              <w:tab w:val="left" w:pos="2865"/>
            </w:tabs>
          </w:pPr>
        </w:p>
      </w:tc>
      <w:tc>
        <w:tcPr>
          <w:tcW w:w="2395" w:type="pct"/>
        </w:tcPr>
        <w:p w:rsidR="00EC379B" w:rsidRPr="009C1E9A" w:rsidRDefault="00BC631E" w:rsidP="009C1E9A">
          <w:pPr>
            <w:pStyle w:val="Footer"/>
            <w:tabs>
              <w:tab w:val="clear" w:pos="4320"/>
              <w:tab w:val="clear" w:pos="8640"/>
              <w:tab w:val="left" w:pos="2865"/>
            </w:tabs>
            <w:rPr>
              <w:rFonts w:ascii="Shruti" w:hAnsi="Shruti"/>
              <w:sz w:val="22"/>
            </w:rPr>
          </w:pPr>
        </w:p>
      </w:tc>
      <w:tc>
        <w:tcPr>
          <w:tcW w:w="2453" w:type="pct"/>
        </w:tcPr>
        <w:p w:rsidR="00EC379B" w:rsidRDefault="00BC631E" w:rsidP="006D504F">
          <w:pPr>
            <w:pStyle w:val="Footer"/>
            <w:rPr>
              <w:rStyle w:val="PageNumber"/>
            </w:rPr>
          </w:pPr>
        </w:p>
        <w:p w:rsidR="00EC379B" w:rsidRDefault="00BC631E" w:rsidP="009C1E9A">
          <w:pPr>
            <w:pStyle w:val="Footer"/>
            <w:tabs>
              <w:tab w:val="clear" w:pos="8640"/>
              <w:tab w:val="right" w:pos="9360"/>
            </w:tabs>
            <w:jc w:val="right"/>
          </w:pPr>
        </w:p>
      </w:tc>
    </w:tr>
    <w:tr w:rsidR="00CE65FE" w:rsidTr="009C1E9A">
      <w:trPr>
        <w:cantSplit/>
        <w:trHeight w:val="323"/>
      </w:trPr>
      <w:tc>
        <w:tcPr>
          <w:tcW w:w="0" w:type="pct"/>
          <w:gridSpan w:val="3"/>
        </w:tcPr>
        <w:p w:rsidR="00EC379B" w:rsidRDefault="00BC63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C631E" w:rsidP="009C1E9A">
          <w:pPr>
            <w:pStyle w:val="Footer"/>
            <w:tabs>
              <w:tab w:val="clear" w:pos="8640"/>
              <w:tab w:val="right" w:pos="9360"/>
            </w:tabs>
            <w:jc w:val="center"/>
          </w:pPr>
        </w:p>
      </w:tc>
    </w:tr>
  </w:tbl>
  <w:p w:rsidR="00EC379B" w:rsidRPr="00FF6F72" w:rsidRDefault="00BC631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C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631E">
      <w:r>
        <w:separator/>
      </w:r>
    </w:p>
  </w:footnote>
  <w:footnote w:type="continuationSeparator" w:id="0">
    <w:p w:rsidR="00000000" w:rsidRDefault="00BC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C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C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C6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FE"/>
    <w:rsid w:val="00BC631E"/>
    <w:rsid w:val="00CE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A47008-177A-433F-931D-E3ED48AF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21896"/>
    <w:rPr>
      <w:sz w:val="16"/>
      <w:szCs w:val="16"/>
    </w:rPr>
  </w:style>
  <w:style w:type="paragraph" w:styleId="CommentText">
    <w:name w:val="annotation text"/>
    <w:basedOn w:val="Normal"/>
    <w:link w:val="CommentTextChar"/>
    <w:semiHidden/>
    <w:unhideWhenUsed/>
    <w:rsid w:val="00321896"/>
    <w:rPr>
      <w:sz w:val="20"/>
      <w:szCs w:val="20"/>
    </w:rPr>
  </w:style>
  <w:style w:type="character" w:customStyle="1" w:styleId="CommentTextChar">
    <w:name w:val="Comment Text Char"/>
    <w:basedOn w:val="DefaultParagraphFont"/>
    <w:link w:val="CommentText"/>
    <w:semiHidden/>
    <w:rsid w:val="00321896"/>
  </w:style>
  <w:style w:type="paragraph" w:styleId="CommentSubject">
    <w:name w:val="annotation subject"/>
    <w:basedOn w:val="CommentText"/>
    <w:next w:val="CommentText"/>
    <w:link w:val="CommentSubjectChar"/>
    <w:semiHidden/>
    <w:unhideWhenUsed/>
    <w:rsid w:val="00321896"/>
    <w:rPr>
      <w:b/>
      <w:bCs/>
    </w:rPr>
  </w:style>
  <w:style w:type="character" w:customStyle="1" w:styleId="CommentSubjectChar">
    <w:name w:val="Comment Subject Char"/>
    <w:basedOn w:val="CommentTextChar"/>
    <w:link w:val="CommentSubject"/>
    <w:semiHidden/>
    <w:rsid w:val="00321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1954</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HB01240 (Committee Report (Unamended))</vt:lpstr>
    </vt:vector>
  </TitlesOfParts>
  <Company>State of Texas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20896</dc:subject>
  <dc:creator>State of Texas</dc:creator>
  <dc:description>HB 1240 by Davis, Yvonne-(H)Criminal Jurisprudence</dc:description>
  <cp:lastModifiedBy>Stacey Nicchio</cp:lastModifiedBy>
  <cp:revision>2</cp:revision>
  <cp:lastPrinted>2003-11-26T17:21:00Z</cp:lastPrinted>
  <dcterms:created xsi:type="dcterms:W3CDTF">2019-04-25T18:48:00Z</dcterms:created>
  <dcterms:modified xsi:type="dcterms:W3CDTF">2019-04-25T18:48:00Z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19.79.1262</vt:lpwstr>
  </property>
</Properties>
</file>