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3FCB" w:rsidTr="005F5353">
        <w:tc>
          <w:tcPr>
            <w:tcW w:w="9576" w:type="dxa"/>
            <w:noWrap/>
          </w:tcPr>
          <w:p w:rsidR="008423E4" w:rsidRPr="0022177D" w:rsidRDefault="009A17E5" w:rsidP="005F535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17E5" w:rsidP="008423E4">
      <w:pPr>
        <w:jc w:val="center"/>
      </w:pPr>
    </w:p>
    <w:p w:rsidR="008423E4" w:rsidRPr="00B31F0E" w:rsidRDefault="009A17E5" w:rsidP="008423E4"/>
    <w:p w:rsidR="008423E4" w:rsidRPr="00742794" w:rsidRDefault="009A17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3FCB" w:rsidTr="005F5353">
        <w:tc>
          <w:tcPr>
            <w:tcW w:w="9576" w:type="dxa"/>
          </w:tcPr>
          <w:p w:rsidR="008423E4" w:rsidRPr="00861995" w:rsidRDefault="009A17E5" w:rsidP="005F5353">
            <w:pPr>
              <w:jc w:val="right"/>
            </w:pPr>
            <w:r>
              <w:t>C.S.H.B. 1261</w:t>
            </w:r>
          </w:p>
        </w:tc>
      </w:tr>
      <w:tr w:rsidR="00FD3FCB" w:rsidTr="005F5353">
        <w:tc>
          <w:tcPr>
            <w:tcW w:w="9576" w:type="dxa"/>
          </w:tcPr>
          <w:p w:rsidR="008423E4" w:rsidRPr="00861995" w:rsidRDefault="009A17E5" w:rsidP="00932A05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FD3FCB" w:rsidTr="005F5353">
        <w:tc>
          <w:tcPr>
            <w:tcW w:w="9576" w:type="dxa"/>
          </w:tcPr>
          <w:p w:rsidR="008423E4" w:rsidRPr="00861995" w:rsidRDefault="009A17E5" w:rsidP="005F5353">
            <w:pPr>
              <w:jc w:val="right"/>
            </w:pPr>
            <w:r>
              <w:t>Criminal Jurisprudence</w:t>
            </w:r>
          </w:p>
        </w:tc>
      </w:tr>
      <w:tr w:rsidR="00FD3FCB" w:rsidTr="005F5353">
        <w:tc>
          <w:tcPr>
            <w:tcW w:w="9576" w:type="dxa"/>
          </w:tcPr>
          <w:p w:rsidR="008423E4" w:rsidRDefault="009A17E5" w:rsidP="005F535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17E5" w:rsidP="008423E4">
      <w:pPr>
        <w:tabs>
          <w:tab w:val="right" w:pos="9360"/>
        </w:tabs>
      </w:pPr>
    </w:p>
    <w:p w:rsidR="008423E4" w:rsidRDefault="009A17E5" w:rsidP="008423E4"/>
    <w:p w:rsidR="008423E4" w:rsidRDefault="009A17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3FCB" w:rsidTr="005F5353">
        <w:tc>
          <w:tcPr>
            <w:tcW w:w="9576" w:type="dxa"/>
          </w:tcPr>
          <w:p w:rsidR="008423E4" w:rsidRPr="00A8133F" w:rsidRDefault="009A17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17E5"/>
          <w:p w:rsidR="008423E4" w:rsidRDefault="009A17E5" w:rsidP="00E620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offense of endangering a child </w:t>
            </w:r>
            <w:r>
              <w:t xml:space="preserve">does not provide a presumption that a person has </w:t>
            </w:r>
            <w:r>
              <w:t xml:space="preserve">endangered a </w:t>
            </w:r>
            <w:r>
              <w:t>child when the</w:t>
            </w:r>
            <w:r>
              <w:t xml:space="preserve"> person</w:t>
            </w:r>
            <w:r>
              <w:t xml:space="preserve"> expose</w:t>
            </w:r>
            <w:r>
              <w:t>s</w:t>
            </w:r>
            <w:r>
              <w:t xml:space="preserve"> </w:t>
            </w:r>
            <w:r>
              <w:t>the</w:t>
            </w:r>
            <w:r>
              <w:t xml:space="preserve"> child </w:t>
            </w:r>
            <w:r>
              <w:t>to drugs other than methamphetamine</w:t>
            </w:r>
            <w:r>
              <w:t>,</w:t>
            </w:r>
            <w:r>
              <w:t xml:space="preserve"> despite the fact that </w:t>
            </w:r>
            <w:r>
              <w:t>drugs</w:t>
            </w:r>
            <w:r>
              <w:t xml:space="preserve"> such as cocaine</w:t>
            </w:r>
            <w:r>
              <w:t xml:space="preserve"> are </w:t>
            </w:r>
            <w:r>
              <w:t xml:space="preserve">equally </w:t>
            </w:r>
            <w:r>
              <w:t xml:space="preserve">or more dangerous than methamphetamine. </w:t>
            </w:r>
            <w:r>
              <w:t>C.S.H.B.</w:t>
            </w:r>
            <w:r>
              <w:t xml:space="preserve"> 1261 seeks to address this issue by</w:t>
            </w:r>
            <w:r>
              <w:t xml:space="preserve"> revising</w:t>
            </w:r>
            <w:r>
              <w:t xml:space="preserve"> the conduct that gives rise t</w:t>
            </w:r>
            <w:r>
              <w:t xml:space="preserve">o the presumption that a person has endangered a child to include </w:t>
            </w:r>
            <w:r>
              <w:t>certain conduct involving</w:t>
            </w:r>
            <w:r>
              <w:t xml:space="preserve"> cocaine</w:t>
            </w:r>
            <w:r>
              <w:t xml:space="preserve">. </w:t>
            </w:r>
          </w:p>
          <w:p w:rsidR="008423E4" w:rsidRPr="00E26B13" w:rsidRDefault="009A17E5">
            <w:pPr>
              <w:rPr>
                <w:b/>
              </w:rPr>
            </w:pPr>
          </w:p>
        </w:tc>
      </w:tr>
      <w:tr w:rsidR="00FD3FCB" w:rsidTr="005F5353">
        <w:tc>
          <w:tcPr>
            <w:tcW w:w="9576" w:type="dxa"/>
          </w:tcPr>
          <w:p w:rsidR="0017725B" w:rsidRDefault="009A17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17E5">
            <w:pPr>
              <w:rPr>
                <w:b/>
                <w:u w:val="single"/>
              </w:rPr>
            </w:pPr>
          </w:p>
          <w:p w:rsidR="00D32AAA" w:rsidRPr="00D32AAA" w:rsidRDefault="009A17E5" w:rsidP="00E620B3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9A17E5">
            <w:pPr>
              <w:rPr>
                <w:b/>
                <w:u w:val="single"/>
              </w:rPr>
            </w:pPr>
          </w:p>
        </w:tc>
      </w:tr>
      <w:tr w:rsidR="00FD3FCB" w:rsidTr="005F5353">
        <w:tc>
          <w:tcPr>
            <w:tcW w:w="9576" w:type="dxa"/>
          </w:tcPr>
          <w:p w:rsidR="008423E4" w:rsidRPr="00A8133F" w:rsidRDefault="009A17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17E5"/>
          <w:p w:rsidR="00D32AAA" w:rsidRDefault="009A17E5" w:rsidP="00E620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9A17E5">
            <w:pPr>
              <w:rPr>
                <w:b/>
              </w:rPr>
            </w:pPr>
          </w:p>
        </w:tc>
      </w:tr>
      <w:tr w:rsidR="00FD3FCB" w:rsidTr="005F5353">
        <w:tc>
          <w:tcPr>
            <w:tcW w:w="9576" w:type="dxa"/>
          </w:tcPr>
          <w:p w:rsidR="008423E4" w:rsidRPr="00A8133F" w:rsidRDefault="009A17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17E5"/>
          <w:p w:rsidR="00F4678C" w:rsidRDefault="009A17E5" w:rsidP="00E620B3">
            <w:pPr>
              <w:jc w:val="both"/>
            </w:pPr>
            <w:r>
              <w:t>C.S.H.B.</w:t>
            </w:r>
            <w:r>
              <w:t xml:space="preserve"> 1261 amends the Penal Code</w:t>
            </w:r>
            <w:r>
              <w:t xml:space="preserve"> to revise the conduct </w:t>
            </w:r>
            <w:r>
              <w:t>giving rise to the presumption</w:t>
            </w:r>
            <w:r>
              <w:t xml:space="preserve"> that a person placed a child in imminent danger of death, bodily injury, or physical or mental impairment for purposes of the offense of </w:t>
            </w:r>
            <w:r w:rsidRPr="00B33789">
              <w:t>endangering</w:t>
            </w:r>
            <w:r>
              <w:t xml:space="preserve"> a child</w:t>
            </w:r>
            <w:r>
              <w:t>:</w:t>
            </w:r>
            <w:r>
              <w:t xml:space="preserve"> </w:t>
            </w:r>
          </w:p>
          <w:p w:rsidR="00F4678C" w:rsidRDefault="009A17E5" w:rsidP="00E620B3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by </w:t>
            </w:r>
            <w:r>
              <w:t>establishing that the person engaged in the conduct if</w:t>
            </w:r>
            <w:r>
              <w:t xml:space="preserve">: </w:t>
            </w:r>
          </w:p>
          <w:p w:rsidR="00F4678C" w:rsidRDefault="009A17E5" w:rsidP="00E620B3">
            <w:pPr>
              <w:pStyle w:val="ListParagraph"/>
              <w:numPr>
                <w:ilvl w:val="1"/>
                <w:numId w:val="5"/>
              </w:numPr>
              <w:spacing w:before="120" w:after="120"/>
              <w:jc w:val="both"/>
            </w:pPr>
            <w:r>
              <w:t>in the presence of the child, the pe</w:t>
            </w:r>
            <w:r>
              <w:t>rson manufactured, possessed, or in any way introduced into the body of any person methamphetamine or cocaine</w:t>
            </w:r>
            <w:r>
              <w:t>;</w:t>
            </w:r>
            <w:r>
              <w:t xml:space="preserve"> or </w:t>
            </w:r>
          </w:p>
          <w:p w:rsidR="00E55570" w:rsidRDefault="009A17E5" w:rsidP="00E620B3">
            <w:pPr>
              <w:pStyle w:val="ListParagraph"/>
              <w:numPr>
                <w:ilvl w:val="1"/>
                <w:numId w:val="5"/>
              </w:numPr>
              <w:spacing w:before="120" w:after="120"/>
              <w:jc w:val="both"/>
            </w:pPr>
            <w:r>
              <w:t xml:space="preserve">the person's conduct related to the proximity or accessibility to the child of </w:t>
            </w:r>
            <w:r>
              <w:t>methamphetamine or cocaine</w:t>
            </w:r>
            <w:r>
              <w:t xml:space="preserve"> and an analysis of a specimen of th</w:t>
            </w:r>
            <w:r>
              <w:t xml:space="preserve">e child's blood, urine, or other bodily substance indicates the presence of </w:t>
            </w:r>
            <w:r>
              <w:t xml:space="preserve">either </w:t>
            </w:r>
            <w:r>
              <w:t>substance in the child's body</w:t>
            </w:r>
            <w:r>
              <w:t>; and</w:t>
            </w:r>
          </w:p>
          <w:p w:rsidR="00F4678C" w:rsidRDefault="009A17E5" w:rsidP="00E620B3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by </w:t>
            </w:r>
            <w:r w:rsidRPr="00F4678C">
              <w:t>remov</w:t>
            </w:r>
            <w:r>
              <w:t>ing</w:t>
            </w:r>
            <w:r w:rsidRPr="00F4678C">
              <w:t xml:space="preserve"> </w:t>
            </w:r>
            <w:r>
              <w:t>from</w:t>
            </w:r>
            <w:r w:rsidRPr="00F4678C">
              <w:t xml:space="preserve"> such conduct the injection, ingestion, inhalation, or other introduction of any controlled substance </w:t>
            </w:r>
            <w:r>
              <w:t>listed in Penalty Gr</w:t>
            </w:r>
            <w:r>
              <w:t>oup 1 of the Texas Controlled Substance</w:t>
            </w:r>
            <w:r>
              <w:t>s</w:t>
            </w:r>
            <w:r>
              <w:t xml:space="preserve"> Act </w:t>
            </w:r>
            <w:r w:rsidRPr="00F4678C">
              <w:t>into the human body when the person was not in lawful possession of the substance</w:t>
            </w:r>
            <w:r>
              <w:t xml:space="preserve">. </w:t>
            </w:r>
          </w:p>
          <w:p w:rsidR="00E55570" w:rsidRDefault="009A17E5" w:rsidP="00E620B3">
            <w:pPr>
              <w:jc w:val="both"/>
            </w:pPr>
          </w:p>
          <w:p w:rsidR="00BD6D60" w:rsidRDefault="009A17E5" w:rsidP="00E620B3">
            <w:pPr>
              <w:jc w:val="both"/>
            </w:pPr>
            <w:r>
              <w:t xml:space="preserve">C.S.H.B. 1261 </w:t>
            </w:r>
            <w:r>
              <w:t xml:space="preserve">exempts a person from </w:t>
            </w:r>
            <w:r>
              <w:t>a</w:t>
            </w:r>
            <w:r>
              <w:t xml:space="preserve"> presumption arising from </w:t>
            </w:r>
            <w:r>
              <w:t xml:space="preserve">conduct related to the proximity or accessibility to the child </w:t>
            </w:r>
            <w:r>
              <w:t xml:space="preserve">of </w:t>
            </w:r>
            <w:r>
              <w:t xml:space="preserve">methamphetamine or cocaine </w:t>
            </w:r>
            <w:r>
              <w:t>and an analysis indicat</w:t>
            </w:r>
            <w:r>
              <w:t>ing</w:t>
            </w:r>
            <w:r>
              <w:t xml:space="preserve"> the presence of </w:t>
            </w:r>
            <w:r>
              <w:t xml:space="preserve">either </w:t>
            </w:r>
            <w:r>
              <w:t xml:space="preserve">substance in </w:t>
            </w:r>
            <w:r>
              <w:t xml:space="preserve">a </w:t>
            </w:r>
            <w:r>
              <w:t>child's body</w:t>
            </w:r>
            <w:r>
              <w:t xml:space="preserve"> if:</w:t>
            </w:r>
          </w:p>
          <w:p w:rsidR="00015273" w:rsidRDefault="009A17E5" w:rsidP="00E620B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the actor's conduct relates to ingesting methamphetamine or cocaine while pregnant with the child;</w:t>
            </w:r>
          </w:p>
          <w:p w:rsidR="00015273" w:rsidRDefault="009A17E5" w:rsidP="00E620B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immediately following the child's birth, an </w:t>
            </w:r>
            <w:r>
              <w:t>analysis of a specimen of the child's blood, urine, or other bodily substance indicates the presence of methamphetamine or cocaine in the child's body; and</w:t>
            </w:r>
          </w:p>
          <w:p w:rsidR="009127F6" w:rsidRDefault="009A17E5" w:rsidP="00E620B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the actor was enrolled in a chemical dependency treatment program or substance abuse treatment progr</w:t>
            </w:r>
            <w:r>
              <w:t>am before the child's birth, continued participating in the program while pregnant with the child, and successfully completed the program after giving birth to the child.</w:t>
            </w:r>
            <w:r>
              <w:t xml:space="preserve"> </w:t>
            </w:r>
          </w:p>
          <w:p w:rsidR="008423E4" w:rsidRPr="0087499E" w:rsidRDefault="009A17E5" w:rsidP="00E620B3">
            <w:pPr>
              <w:pStyle w:val="ListParagraph"/>
              <w:spacing w:before="120" w:after="120"/>
              <w:jc w:val="both"/>
              <w:rPr>
                <w:b/>
              </w:rPr>
            </w:pPr>
          </w:p>
        </w:tc>
      </w:tr>
      <w:tr w:rsidR="00FD3FCB" w:rsidTr="005F5353">
        <w:tc>
          <w:tcPr>
            <w:tcW w:w="9576" w:type="dxa"/>
          </w:tcPr>
          <w:p w:rsidR="008423E4" w:rsidRPr="00A8133F" w:rsidRDefault="009A17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17E5"/>
          <w:p w:rsidR="008423E4" w:rsidRPr="003624F2" w:rsidRDefault="009A17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A17E5">
            <w:pPr>
              <w:rPr>
                <w:b/>
              </w:rPr>
            </w:pPr>
          </w:p>
        </w:tc>
      </w:tr>
      <w:tr w:rsidR="00FD3FCB" w:rsidTr="005F5353">
        <w:tc>
          <w:tcPr>
            <w:tcW w:w="9576" w:type="dxa"/>
          </w:tcPr>
          <w:p w:rsidR="00932A05" w:rsidRDefault="009A17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58D2" w:rsidRDefault="009A17E5">
            <w:pPr>
              <w:jc w:val="both"/>
            </w:pPr>
          </w:p>
          <w:p w:rsidR="003E58D2" w:rsidRDefault="009A17E5" w:rsidP="00E620B3">
            <w:pPr>
              <w:jc w:val="both"/>
            </w:pPr>
            <w:r>
              <w:t>While</w:t>
            </w:r>
            <w:r>
              <w:t xml:space="preserve"> C.S.H.B. 1261 may differ from the original in minor or nonsubstantive ways, the following summarizes the substantial differences between the introduced and committee substitute versions of the bill.</w:t>
            </w:r>
          </w:p>
          <w:p w:rsidR="003E58D2" w:rsidRDefault="009A17E5" w:rsidP="00E620B3">
            <w:pPr>
              <w:jc w:val="both"/>
            </w:pPr>
          </w:p>
          <w:p w:rsidR="003E58D2" w:rsidRDefault="009A17E5" w:rsidP="00E620B3">
            <w:pPr>
              <w:jc w:val="both"/>
            </w:pPr>
            <w:r>
              <w:t>The substitute</w:t>
            </w:r>
            <w:r>
              <w:t xml:space="preserve"> cha</w:t>
            </w:r>
            <w:r>
              <w:t>nges from any controlled substance li</w:t>
            </w:r>
            <w:r>
              <w:t xml:space="preserve">sted in Penalty Group 1 </w:t>
            </w:r>
            <w:r>
              <w:t>of</w:t>
            </w:r>
            <w:r>
              <w:t xml:space="preserve"> the Texas Controlled Substances Act to methamphetamine and cocaine the substances for which the commission of conduct under the bill's provisions gives rise to the presumption that the actor placed a child in imminent danger of d</w:t>
            </w:r>
            <w:r>
              <w:t xml:space="preserve">eath, bodily injury, or physical or mental impairment for purposes of the offense of </w:t>
            </w:r>
            <w:r w:rsidRPr="00B33789">
              <w:t>endangering</w:t>
            </w:r>
            <w:r>
              <w:t xml:space="preserve"> a child.</w:t>
            </w:r>
          </w:p>
          <w:p w:rsidR="00AF7AB8" w:rsidRDefault="009A17E5" w:rsidP="00E620B3">
            <w:pPr>
              <w:jc w:val="both"/>
            </w:pPr>
          </w:p>
          <w:p w:rsidR="00AF7AB8" w:rsidRDefault="009A17E5" w:rsidP="00E620B3">
            <w:pPr>
              <w:jc w:val="both"/>
            </w:pPr>
            <w:r>
              <w:t xml:space="preserve">The substitute includes a provision </w:t>
            </w:r>
            <w:r>
              <w:t xml:space="preserve">exempting </w:t>
            </w:r>
            <w:r>
              <w:t xml:space="preserve">an actor who ingests </w:t>
            </w:r>
            <w:r w:rsidRPr="005C7456">
              <w:t xml:space="preserve">methamphetamine or cocaine while pregnant with </w:t>
            </w:r>
            <w:r>
              <w:t>a</w:t>
            </w:r>
            <w:r w:rsidRPr="005C7456">
              <w:t xml:space="preserve"> child</w:t>
            </w:r>
            <w:r>
              <w:t xml:space="preserve"> </w:t>
            </w:r>
            <w:r>
              <w:t xml:space="preserve">from </w:t>
            </w:r>
            <w:r>
              <w:t>a</w:t>
            </w:r>
            <w:r>
              <w:t xml:space="preserve"> presumption </w:t>
            </w:r>
            <w:r>
              <w:t xml:space="preserve">arising </w:t>
            </w:r>
            <w:r>
              <w:t xml:space="preserve">from </w:t>
            </w:r>
            <w:r>
              <w:t>certain conduct</w:t>
            </w:r>
            <w:r>
              <w:t xml:space="preserve"> under the bill's provisions if the actor was enrolled in and completes a chemical dependency treatment program or substance abuse treatment program</w:t>
            </w:r>
            <w:r>
              <w:t>.</w:t>
            </w:r>
          </w:p>
          <w:p w:rsidR="003E58D2" w:rsidRPr="003E58D2" w:rsidRDefault="009A17E5">
            <w:pPr>
              <w:jc w:val="both"/>
            </w:pPr>
          </w:p>
        </w:tc>
      </w:tr>
      <w:tr w:rsidR="00FD3FCB" w:rsidTr="005F5353">
        <w:tc>
          <w:tcPr>
            <w:tcW w:w="9576" w:type="dxa"/>
          </w:tcPr>
          <w:p w:rsidR="00932A05" w:rsidRPr="009C1E9A" w:rsidRDefault="009A17E5">
            <w:pPr>
              <w:rPr>
                <w:b/>
                <w:u w:val="single"/>
              </w:rPr>
            </w:pPr>
          </w:p>
        </w:tc>
      </w:tr>
      <w:tr w:rsidR="00FD3FCB" w:rsidTr="005F5353">
        <w:tc>
          <w:tcPr>
            <w:tcW w:w="9576" w:type="dxa"/>
          </w:tcPr>
          <w:p w:rsidR="00932A05" w:rsidRPr="00932A05" w:rsidRDefault="009A17E5" w:rsidP="00E620B3">
            <w:pPr>
              <w:jc w:val="both"/>
            </w:pPr>
          </w:p>
        </w:tc>
      </w:tr>
    </w:tbl>
    <w:p w:rsidR="008423E4" w:rsidRPr="00BE0E75" w:rsidRDefault="009A17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17E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17E5">
      <w:r>
        <w:separator/>
      </w:r>
    </w:p>
  </w:endnote>
  <w:endnote w:type="continuationSeparator" w:id="0">
    <w:p w:rsidR="00000000" w:rsidRDefault="009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3FCB" w:rsidTr="009C1E9A">
      <w:trPr>
        <w:cantSplit/>
      </w:trPr>
      <w:tc>
        <w:tcPr>
          <w:tcW w:w="0" w:type="pct"/>
        </w:tcPr>
        <w:p w:rsidR="00137D90" w:rsidRDefault="009A1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17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17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1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1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3FCB" w:rsidTr="009C1E9A">
      <w:trPr>
        <w:cantSplit/>
      </w:trPr>
      <w:tc>
        <w:tcPr>
          <w:tcW w:w="0" w:type="pct"/>
        </w:tcPr>
        <w:p w:rsidR="00EC379B" w:rsidRDefault="009A1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17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30254</w:t>
          </w:r>
        </w:p>
      </w:tc>
      <w:tc>
        <w:tcPr>
          <w:tcW w:w="2453" w:type="pct"/>
        </w:tcPr>
        <w:p w:rsidR="00EC379B" w:rsidRDefault="009A1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19.117.353</w:t>
          </w:r>
          <w:r>
            <w:fldChar w:fldCharType="end"/>
          </w:r>
        </w:p>
      </w:tc>
    </w:tr>
    <w:tr w:rsidR="00FD3FCB" w:rsidTr="009C1E9A">
      <w:trPr>
        <w:cantSplit/>
      </w:trPr>
      <w:tc>
        <w:tcPr>
          <w:tcW w:w="0" w:type="pct"/>
        </w:tcPr>
        <w:p w:rsidR="00EC379B" w:rsidRDefault="009A17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17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19691</w:t>
          </w:r>
        </w:p>
      </w:tc>
      <w:tc>
        <w:tcPr>
          <w:tcW w:w="2453" w:type="pct"/>
        </w:tcPr>
        <w:p w:rsidR="00EC379B" w:rsidRDefault="009A17E5" w:rsidP="006D504F">
          <w:pPr>
            <w:pStyle w:val="Footer"/>
            <w:rPr>
              <w:rStyle w:val="PageNumber"/>
            </w:rPr>
          </w:pPr>
        </w:p>
        <w:p w:rsidR="00EC379B" w:rsidRDefault="009A1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3F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17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17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17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17E5">
      <w:r>
        <w:separator/>
      </w:r>
    </w:p>
  </w:footnote>
  <w:footnote w:type="continuationSeparator" w:id="0">
    <w:p w:rsidR="00000000" w:rsidRDefault="009A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1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1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4F7"/>
    <w:multiLevelType w:val="hybridMultilevel"/>
    <w:tmpl w:val="FA7AD15E"/>
    <w:lvl w:ilvl="0" w:tplc="6ACC7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41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E1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83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4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A8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9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B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47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904"/>
    <w:multiLevelType w:val="hybridMultilevel"/>
    <w:tmpl w:val="C96A7238"/>
    <w:lvl w:ilvl="0" w:tplc="11F43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41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E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6E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E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C6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4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6F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28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804"/>
    <w:multiLevelType w:val="hybridMultilevel"/>
    <w:tmpl w:val="8E3278D2"/>
    <w:lvl w:ilvl="0" w:tplc="EC8E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CD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42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AE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40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7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81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C8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58E"/>
    <w:multiLevelType w:val="hybridMultilevel"/>
    <w:tmpl w:val="27AA0C6E"/>
    <w:lvl w:ilvl="0" w:tplc="A0B48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40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B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4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A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ED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C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82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65AF"/>
    <w:multiLevelType w:val="hybridMultilevel"/>
    <w:tmpl w:val="7130A3A8"/>
    <w:lvl w:ilvl="0" w:tplc="D778A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E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A9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65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8A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E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48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05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B"/>
    <w:rsid w:val="009A17E5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A6558D-0DCA-4C6C-A629-1A89832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2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2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27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2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27F5"/>
    <w:rPr>
      <w:b/>
      <w:bCs/>
    </w:rPr>
  </w:style>
  <w:style w:type="paragraph" w:styleId="ListParagraph">
    <w:name w:val="List Paragraph"/>
    <w:basedOn w:val="Normal"/>
    <w:uiPriority w:val="34"/>
    <w:qFormat/>
    <w:rsid w:val="00AC0082"/>
    <w:pPr>
      <w:ind w:left="720"/>
      <w:contextualSpacing/>
    </w:pPr>
  </w:style>
  <w:style w:type="paragraph" w:styleId="Revision">
    <w:name w:val="Revision"/>
    <w:hidden/>
    <w:uiPriority w:val="99"/>
    <w:semiHidden/>
    <w:rsid w:val="003215BC"/>
    <w:rPr>
      <w:sz w:val="24"/>
      <w:szCs w:val="24"/>
    </w:rPr>
  </w:style>
  <w:style w:type="character" w:styleId="Hyperlink">
    <w:name w:val="Hyperlink"/>
    <w:basedOn w:val="DefaultParagraphFont"/>
    <w:unhideWhenUsed/>
    <w:rsid w:val="00AD5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6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3294</Characters>
  <Application>Microsoft Office Word</Application>
  <DocSecurity>4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HB01261 (Committee Report (Substituted))</vt:lpstr>
    </vt:vector>
  </TitlesOfParts>
  <Company>State of Texas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30254</dc:subject>
  <dc:creator>State of Texas</dc:creator>
  <dc:description>HB 1261 by Bell, Keith-(H)Criminal Jurisprudence (Substitute Document Number: 86R 19691)</dc:description>
  <cp:lastModifiedBy>Scotty Wimberley</cp:lastModifiedBy>
  <cp:revision>2</cp:revision>
  <cp:lastPrinted>2019-02-01T19:02:00Z</cp:lastPrinted>
  <dcterms:created xsi:type="dcterms:W3CDTF">2019-05-01T23:28:00Z</dcterms:created>
  <dcterms:modified xsi:type="dcterms:W3CDTF">2019-05-01T23:28:00Z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19.117.353</vt:lpwstr>
  </property>
</Properties>
</file>