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624BD6" w:rsidTr="00345119">
        <w:tc>
          <w:tcPr>
            <w:tcW w:w="9576" w:type="dxa"/>
            <w:noWrap/>
          </w:tcPr>
          <w:p w:rsidR="008423E4" w:rsidRPr="0022177D" w:rsidRDefault="00C64159" w:rsidP="00345119">
            <w:pPr>
              <w:pStyle w:val="Heading1"/>
            </w:pPr>
            <w:bookmarkStart w:id="0" w:name="_GoBack"/>
            <w:bookmarkEnd w:id="0"/>
            <w:r w:rsidRPr="00631897">
              <w:t>BILL ANALYSIS</w:t>
            </w:r>
          </w:p>
        </w:tc>
      </w:tr>
    </w:tbl>
    <w:p w:rsidR="008423E4" w:rsidRPr="0022177D" w:rsidRDefault="00C64159" w:rsidP="008423E4">
      <w:pPr>
        <w:jc w:val="center"/>
      </w:pPr>
    </w:p>
    <w:p w:rsidR="008423E4" w:rsidRPr="00B31F0E" w:rsidRDefault="00C64159" w:rsidP="008423E4"/>
    <w:p w:rsidR="008423E4" w:rsidRPr="00742794" w:rsidRDefault="00C64159" w:rsidP="008423E4">
      <w:pPr>
        <w:tabs>
          <w:tab w:val="right" w:pos="9360"/>
        </w:tabs>
      </w:pPr>
    </w:p>
    <w:tbl>
      <w:tblPr>
        <w:tblW w:w="0" w:type="auto"/>
        <w:tblLayout w:type="fixed"/>
        <w:tblLook w:val="01E0" w:firstRow="1" w:lastRow="1" w:firstColumn="1" w:lastColumn="1" w:noHBand="0" w:noVBand="0"/>
      </w:tblPr>
      <w:tblGrid>
        <w:gridCol w:w="9576"/>
      </w:tblGrid>
      <w:tr w:rsidR="00624BD6" w:rsidTr="00345119">
        <w:tc>
          <w:tcPr>
            <w:tcW w:w="9576" w:type="dxa"/>
          </w:tcPr>
          <w:p w:rsidR="008423E4" w:rsidRPr="00861995" w:rsidRDefault="00C64159" w:rsidP="00345119">
            <w:pPr>
              <w:jc w:val="right"/>
            </w:pPr>
            <w:r>
              <w:t>C.S.H.B. 1273</w:t>
            </w:r>
          </w:p>
        </w:tc>
      </w:tr>
      <w:tr w:rsidR="00624BD6" w:rsidTr="00345119">
        <w:tc>
          <w:tcPr>
            <w:tcW w:w="9576" w:type="dxa"/>
          </w:tcPr>
          <w:p w:rsidR="008423E4" w:rsidRPr="00861995" w:rsidRDefault="00C64159" w:rsidP="00CF6982">
            <w:pPr>
              <w:jc w:val="right"/>
            </w:pPr>
            <w:r>
              <w:t xml:space="preserve">By: </w:t>
            </w:r>
            <w:r>
              <w:t>Zedler</w:t>
            </w:r>
          </w:p>
        </w:tc>
      </w:tr>
      <w:tr w:rsidR="00624BD6" w:rsidTr="00345119">
        <w:tc>
          <w:tcPr>
            <w:tcW w:w="9576" w:type="dxa"/>
          </w:tcPr>
          <w:p w:rsidR="008423E4" w:rsidRPr="00861995" w:rsidRDefault="00C64159" w:rsidP="00345119">
            <w:pPr>
              <w:jc w:val="right"/>
            </w:pPr>
            <w:r>
              <w:t>Insurance</w:t>
            </w:r>
          </w:p>
        </w:tc>
      </w:tr>
      <w:tr w:rsidR="00624BD6" w:rsidTr="00345119">
        <w:tc>
          <w:tcPr>
            <w:tcW w:w="9576" w:type="dxa"/>
          </w:tcPr>
          <w:p w:rsidR="008423E4" w:rsidRDefault="00C64159" w:rsidP="00345119">
            <w:pPr>
              <w:jc w:val="right"/>
            </w:pPr>
            <w:r>
              <w:t>Committee Report (Substituted)</w:t>
            </w:r>
          </w:p>
        </w:tc>
      </w:tr>
    </w:tbl>
    <w:p w:rsidR="008423E4" w:rsidRDefault="00C64159" w:rsidP="008423E4">
      <w:pPr>
        <w:tabs>
          <w:tab w:val="right" w:pos="9360"/>
        </w:tabs>
      </w:pPr>
    </w:p>
    <w:p w:rsidR="008423E4" w:rsidRDefault="00C64159" w:rsidP="008423E4"/>
    <w:p w:rsidR="008423E4" w:rsidRDefault="00C64159" w:rsidP="008423E4"/>
    <w:tbl>
      <w:tblPr>
        <w:tblW w:w="0" w:type="auto"/>
        <w:tblCellMar>
          <w:left w:w="115" w:type="dxa"/>
          <w:right w:w="115" w:type="dxa"/>
        </w:tblCellMar>
        <w:tblLook w:val="01E0" w:firstRow="1" w:lastRow="1" w:firstColumn="1" w:lastColumn="1" w:noHBand="0" w:noVBand="0"/>
      </w:tblPr>
      <w:tblGrid>
        <w:gridCol w:w="9576"/>
      </w:tblGrid>
      <w:tr w:rsidR="00624BD6" w:rsidTr="00345119">
        <w:tc>
          <w:tcPr>
            <w:tcW w:w="9576" w:type="dxa"/>
          </w:tcPr>
          <w:p w:rsidR="008423E4" w:rsidRPr="00A8133F" w:rsidRDefault="00C64159" w:rsidP="00EE5DC9">
            <w:pPr>
              <w:rPr>
                <w:b/>
              </w:rPr>
            </w:pPr>
            <w:r w:rsidRPr="009C1E9A">
              <w:rPr>
                <w:b/>
                <w:u w:val="single"/>
              </w:rPr>
              <w:t>BACKGROUND AND PURPOSE</w:t>
            </w:r>
            <w:r>
              <w:rPr>
                <w:b/>
              </w:rPr>
              <w:t xml:space="preserve"> </w:t>
            </w:r>
          </w:p>
          <w:p w:rsidR="008423E4" w:rsidRDefault="00C64159" w:rsidP="00EE5DC9"/>
          <w:p w:rsidR="008423E4" w:rsidRDefault="00C64159" w:rsidP="00EE5DC9">
            <w:pPr>
              <w:pStyle w:val="Header"/>
              <w:tabs>
                <w:tab w:val="clear" w:pos="4320"/>
                <w:tab w:val="clear" w:pos="8640"/>
              </w:tabs>
              <w:jc w:val="both"/>
            </w:pPr>
            <w:r>
              <w:t xml:space="preserve">There are concerns that </w:t>
            </w:r>
            <w:r>
              <w:t>some</w:t>
            </w:r>
            <w:r w:rsidRPr="00AA6286">
              <w:t xml:space="preserve"> </w:t>
            </w:r>
            <w:r>
              <w:t xml:space="preserve">health </w:t>
            </w:r>
            <w:r w:rsidRPr="00AA6286">
              <w:t>insurance provider</w:t>
            </w:r>
            <w:r>
              <w:t>s</w:t>
            </w:r>
            <w:r w:rsidRPr="00AA6286">
              <w:t xml:space="preserve"> </w:t>
            </w:r>
            <w:r>
              <w:t xml:space="preserve">may </w:t>
            </w:r>
            <w:r>
              <w:t>give prior authorization for</w:t>
            </w:r>
            <w:r>
              <w:t xml:space="preserve"> a treatment and</w:t>
            </w:r>
            <w:r>
              <w:t xml:space="preserve"> then,</w:t>
            </w:r>
            <w:r>
              <w:t xml:space="preserve"> after the patient </w:t>
            </w:r>
            <w:r w:rsidRPr="00AA6286">
              <w:t>receive</w:t>
            </w:r>
            <w:r>
              <w:t xml:space="preserve">s </w:t>
            </w:r>
            <w:r>
              <w:t>care</w:t>
            </w:r>
            <w:r>
              <w:t>,</w:t>
            </w:r>
            <w:r w:rsidRPr="00AA6286">
              <w:t xml:space="preserve"> deny payment and leave the patient responsible for </w:t>
            </w:r>
            <w:r>
              <w:t>all or part of the</w:t>
            </w:r>
            <w:r w:rsidRPr="00AA6286">
              <w:t xml:space="preserve"> cost of the treatment.</w:t>
            </w:r>
            <w:r>
              <w:t xml:space="preserve"> </w:t>
            </w:r>
            <w:r>
              <w:t>C.S.</w:t>
            </w:r>
            <w:r w:rsidRPr="00AA6286">
              <w:t>H</w:t>
            </w:r>
            <w:r>
              <w:t>.</w:t>
            </w:r>
            <w:r w:rsidRPr="00AA6286">
              <w:t>B</w:t>
            </w:r>
            <w:r>
              <w:t>.</w:t>
            </w:r>
            <w:r>
              <w:t xml:space="preserve"> </w:t>
            </w:r>
            <w:r w:rsidRPr="00AA6286">
              <w:t xml:space="preserve">1273 </w:t>
            </w:r>
            <w:r>
              <w:t>seeks to address these concerns by</w:t>
            </w:r>
            <w:r w:rsidRPr="00AA6286">
              <w:t xml:space="preserve"> prohibit</w:t>
            </w:r>
            <w:r>
              <w:t>ing</w:t>
            </w:r>
            <w:r w:rsidRPr="00AA6286">
              <w:t xml:space="preserve"> a</w:t>
            </w:r>
            <w:r>
              <w:t xml:space="preserve"> health benefit plan issuer</w:t>
            </w:r>
            <w:r w:rsidRPr="00AA6286">
              <w:t xml:space="preserve"> from denying </w:t>
            </w:r>
            <w:r>
              <w:t xml:space="preserve">or reducing </w:t>
            </w:r>
            <w:r w:rsidRPr="00AA6286">
              <w:t>payment</w:t>
            </w:r>
            <w:r>
              <w:t xml:space="preserve"> for </w:t>
            </w:r>
            <w:r>
              <w:t xml:space="preserve">preauthorized </w:t>
            </w:r>
            <w:r>
              <w:t>health care serv</w:t>
            </w:r>
            <w:r>
              <w:t>ices</w:t>
            </w:r>
            <w:r>
              <w:t>, with certain exceptions</w:t>
            </w:r>
            <w:r w:rsidRPr="00AA6286">
              <w:t xml:space="preserve">. </w:t>
            </w:r>
          </w:p>
          <w:p w:rsidR="00955DFF" w:rsidRPr="00E26B13" w:rsidRDefault="00C64159" w:rsidP="00EE5DC9">
            <w:pPr>
              <w:pStyle w:val="Header"/>
              <w:tabs>
                <w:tab w:val="clear" w:pos="4320"/>
                <w:tab w:val="clear" w:pos="8640"/>
              </w:tabs>
              <w:jc w:val="both"/>
              <w:rPr>
                <w:b/>
              </w:rPr>
            </w:pPr>
          </w:p>
        </w:tc>
      </w:tr>
      <w:tr w:rsidR="00624BD6" w:rsidTr="00345119">
        <w:tc>
          <w:tcPr>
            <w:tcW w:w="9576" w:type="dxa"/>
          </w:tcPr>
          <w:p w:rsidR="0017725B" w:rsidRDefault="00C64159" w:rsidP="00EE5DC9">
            <w:pPr>
              <w:rPr>
                <w:b/>
                <w:u w:val="single"/>
              </w:rPr>
            </w:pPr>
            <w:r>
              <w:rPr>
                <w:b/>
                <w:u w:val="single"/>
              </w:rPr>
              <w:t>CRIMINAL JUSTICE IMPACT</w:t>
            </w:r>
          </w:p>
          <w:p w:rsidR="0017725B" w:rsidRDefault="00C64159" w:rsidP="00EE5DC9">
            <w:pPr>
              <w:rPr>
                <w:b/>
                <w:u w:val="single"/>
              </w:rPr>
            </w:pPr>
          </w:p>
          <w:p w:rsidR="001C52B9" w:rsidRPr="001C52B9" w:rsidRDefault="00C64159" w:rsidP="00EE5DC9">
            <w:pPr>
              <w:jc w:val="both"/>
            </w:pPr>
            <w:r>
              <w:t xml:space="preserve">It is the committee's opinion that this bill does not expressly create a criminal offense, increase the punishment for an existing criminal offense or category of offenses, or change the </w:t>
            </w:r>
            <w:r>
              <w:t>eligibility of a person for community supervision, parole, or mandatory supervision.</w:t>
            </w:r>
          </w:p>
          <w:p w:rsidR="0017725B" w:rsidRPr="0017725B" w:rsidRDefault="00C64159" w:rsidP="00EE5DC9">
            <w:pPr>
              <w:rPr>
                <w:b/>
                <w:u w:val="single"/>
              </w:rPr>
            </w:pPr>
          </w:p>
        </w:tc>
      </w:tr>
      <w:tr w:rsidR="00624BD6" w:rsidTr="00345119">
        <w:tc>
          <w:tcPr>
            <w:tcW w:w="9576" w:type="dxa"/>
          </w:tcPr>
          <w:p w:rsidR="008423E4" w:rsidRPr="00A8133F" w:rsidRDefault="00C64159" w:rsidP="00EE5DC9">
            <w:pPr>
              <w:rPr>
                <w:b/>
              </w:rPr>
            </w:pPr>
            <w:r w:rsidRPr="009C1E9A">
              <w:rPr>
                <w:b/>
                <w:u w:val="single"/>
              </w:rPr>
              <w:t>RULEMAKING AUTHORITY</w:t>
            </w:r>
            <w:r>
              <w:rPr>
                <w:b/>
              </w:rPr>
              <w:t xml:space="preserve"> </w:t>
            </w:r>
          </w:p>
          <w:p w:rsidR="008423E4" w:rsidRDefault="00C64159" w:rsidP="00EE5DC9"/>
          <w:p w:rsidR="001C52B9" w:rsidRDefault="00C64159" w:rsidP="00EE5DC9">
            <w:pPr>
              <w:pStyle w:val="Header"/>
              <w:tabs>
                <w:tab w:val="clear" w:pos="4320"/>
                <w:tab w:val="clear" w:pos="8640"/>
              </w:tabs>
              <w:jc w:val="both"/>
            </w:pPr>
            <w:r>
              <w:t xml:space="preserve">It is the committee's opinion that this bill does not expressly grant any additional rulemaking authority to a state officer, department, agency, </w:t>
            </w:r>
            <w:r>
              <w:t>or institution.</w:t>
            </w:r>
          </w:p>
          <w:p w:rsidR="008423E4" w:rsidRPr="00E21FDC" w:rsidRDefault="00C64159" w:rsidP="00EE5DC9">
            <w:pPr>
              <w:rPr>
                <w:b/>
              </w:rPr>
            </w:pPr>
          </w:p>
        </w:tc>
      </w:tr>
      <w:tr w:rsidR="00624BD6" w:rsidTr="00345119">
        <w:tc>
          <w:tcPr>
            <w:tcW w:w="9576" w:type="dxa"/>
          </w:tcPr>
          <w:p w:rsidR="008423E4" w:rsidRDefault="00C64159" w:rsidP="00EE5DC9">
            <w:pPr>
              <w:rPr>
                <w:b/>
              </w:rPr>
            </w:pPr>
            <w:r w:rsidRPr="009C1E9A">
              <w:rPr>
                <w:b/>
                <w:u w:val="single"/>
              </w:rPr>
              <w:t>ANALYSIS</w:t>
            </w:r>
            <w:r>
              <w:rPr>
                <w:b/>
              </w:rPr>
              <w:t xml:space="preserve"> </w:t>
            </w:r>
          </w:p>
          <w:p w:rsidR="00EE5DC9" w:rsidRPr="00CA4EFF" w:rsidRDefault="00C64159" w:rsidP="00EE5DC9">
            <w:pPr>
              <w:rPr>
                <w:b/>
              </w:rPr>
            </w:pPr>
          </w:p>
          <w:p w:rsidR="0095577E" w:rsidRDefault="00C64159" w:rsidP="00EE5DC9">
            <w:pPr>
              <w:pStyle w:val="Header"/>
              <w:jc w:val="both"/>
            </w:pPr>
            <w:r>
              <w:t>C.S.</w:t>
            </w:r>
            <w:r>
              <w:t>H.B. 1273 amends the Insurance Code to prohibit a health benefit plan issuer</w:t>
            </w:r>
            <w:r>
              <w:t xml:space="preserve"> that</w:t>
            </w:r>
            <w:r>
              <w:t xml:space="preserve"> has </w:t>
            </w:r>
            <w:r w:rsidRPr="001C52B9">
              <w:t>given prior authorization for health care services to be performed by a physician or health care provider</w:t>
            </w:r>
            <w:r>
              <w:t xml:space="preserve"> from </w:t>
            </w:r>
            <w:r w:rsidRPr="001C52B9">
              <w:t>deny</w:t>
            </w:r>
            <w:r>
              <w:t>ing or reducing</w:t>
            </w:r>
            <w:r w:rsidRPr="001C52B9">
              <w:t xml:space="preserve"> payment to the physician or provider for those services based on medical necessity or appropriateness of care unless the physician or provider materially misrepresented the proposed health care services or substantially failed to perform the proposed heal</w:t>
            </w:r>
            <w:r w:rsidRPr="001C52B9">
              <w:t>th care services.</w:t>
            </w:r>
            <w:r>
              <w:t xml:space="preserve"> The bill exempts from that prohibition:</w:t>
            </w:r>
          </w:p>
          <w:p w:rsidR="0095577E" w:rsidRDefault="00C64159" w:rsidP="00EE5DC9">
            <w:pPr>
              <w:pStyle w:val="Header"/>
              <w:numPr>
                <w:ilvl w:val="0"/>
                <w:numId w:val="1"/>
              </w:numPr>
              <w:spacing w:before="120" w:after="120"/>
              <w:jc w:val="both"/>
            </w:pPr>
            <w:r>
              <w:t>a denial, recoupment, or suspension of or reduction in a payment to a physician or health care provider made by a managed care organization under the direction of the Health and Human Services Commi</w:t>
            </w:r>
            <w:r>
              <w:t>ssion's office of the inspector general by its authority to prevent, detect, audit, inspect, review, and investigate fraud, waste, and abuse in the provision and delivery of all health and human services; or</w:t>
            </w:r>
          </w:p>
          <w:p w:rsidR="008423E4" w:rsidRDefault="00C64159" w:rsidP="00EE5DC9">
            <w:pPr>
              <w:pStyle w:val="Header"/>
              <w:numPr>
                <w:ilvl w:val="0"/>
                <w:numId w:val="1"/>
              </w:numPr>
              <w:jc w:val="both"/>
            </w:pPr>
            <w:r>
              <w:t xml:space="preserve">a recovery by a managed care organization </w:t>
            </w:r>
            <w:r>
              <w:t>on the</w:t>
            </w:r>
            <w:r>
              <w:t xml:space="preserve"> basis of fraud and abuse.</w:t>
            </w:r>
          </w:p>
          <w:p w:rsidR="00F714F4" w:rsidRDefault="00C64159" w:rsidP="00EE5DC9">
            <w:pPr>
              <w:pStyle w:val="Header"/>
              <w:tabs>
                <w:tab w:val="clear" w:pos="4320"/>
                <w:tab w:val="clear" w:pos="8640"/>
              </w:tabs>
              <w:jc w:val="both"/>
            </w:pPr>
          </w:p>
          <w:p w:rsidR="00F714F4" w:rsidRDefault="00C64159" w:rsidP="00EE5DC9">
            <w:pPr>
              <w:pStyle w:val="Header"/>
              <w:jc w:val="both"/>
            </w:pPr>
            <w:r>
              <w:t xml:space="preserve">C.S.H.B. 1273 </w:t>
            </w:r>
            <w:r>
              <w:t xml:space="preserve">establishes </w:t>
            </w:r>
            <w:r>
              <w:t xml:space="preserve">that nothing in </w:t>
            </w:r>
            <w:r>
              <w:t>its</w:t>
            </w:r>
            <w:r>
              <w:t xml:space="preserve"> provisions limits the liability of a physician or health care provider in a </w:t>
            </w:r>
            <w:r>
              <w:t xml:space="preserve">Medicaid </w:t>
            </w:r>
            <w:r>
              <w:t xml:space="preserve">fraud prevention action or for a violation of state or federal law governing Medicaid, including </w:t>
            </w:r>
            <w:r>
              <w:t>Medicaid delivered through a managed care model or health benefits provided under CHIP</w:t>
            </w:r>
            <w:r>
              <w:t>.</w:t>
            </w:r>
          </w:p>
          <w:p w:rsidR="008423E4" w:rsidRPr="00835628" w:rsidRDefault="00C64159" w:rsidP="00EE5DC9">
            <w:pPr>
              <w:rPr>
                <w:b/>
              </w:rPr>
            </w:pPr>
          </w:p>
        </w:tc>
      </w:tr>
      <w:tr w:rsidR="00624BD6" w:rsidTr="00345119">
        <w:tc>
          <w:tcPr>
            <w:tcW w:w="9576" w:type="dxa"/>
          </w:tcPr>
          <w:p w:rsidR="008423E4" w:rsidRPr="00A8133F" w:rsidRDefault="00C64159" w:rsidP="00EE5DC9">
            <w:pPr>
              <w:rPr>
                <w:b/>
              </w:rPr>
            </w:pPr>
            <w:r w:rsidRPr="009C1E9A">
              <w:rPr>
                <w:b/>
                <w:u w:val="single"/>
              </w:rPr>
              <w:t>EFFECTIVE DATE</w:t>
            </w:r>
            <w:r>
              <w:rPr>
                <w:b/>
              </w:rPr>
              <w:t xml:space="preserve"> </w:t>
            </w:r>
          </w:p>
          <w:p w:rsidR="008423E4" w:rsidRDefault="00C64159" w:rsidP="00EE5DC9"/>
          <w:p w:rsidR="008423E4" w:rsidRPr="003624F2" w:rsidRDefault="00C64159" w:rsidP="00EE5DC9">
            <w:pPr>
              <w:pStyle w:val="Header"/>
              <w:tabs>
                <w:tab w:val="clear" w:pos="4320"/>
                <w:tab w:val="clear" w:pos="8640"/>
              </w:tabs>
              <w:jc w:val="both"/>
            </w:pPr>
            <w:r>
              <w:t>September 1, 2019.</w:t>
            </w:r>
          </w:p>
          <w:p w:rsidR="008423E4" w:rsidRPr="00233FDB" w:rsidRDefault="00C64159" w:rsidP="00EE5DC9">
            <w:pPr>
              <w:rPr>
                <w:b/>
              </w:rPr>
            </w:pPr>
          </w:p>
        </w:tc>
      </w:tr>
      <w:tr w:rsidR="00624BD6" w:rsidTr="00345119">
        <w:tc>
          <w:tcPr>
            <w:tcW w:w="9576" w:type="dxa"/>
          </w:tcPr>
          <w:p w:rsidR="00EE5DC9" w:rsidRDefault="00C64159" w:rsidP="00EE5DC9">
            <w:pPr>
              <w:jc w:val="both"/>
              <w:rPr>
                <w:b/>
                <w:u w:val="single"/>
              </w:rPr>
            </w:pPr>
          </w:p>
          <w:p w:rsidR="00CF6982" w:rsidRDefault="00C64159" w:rsidP="00EE5DC9">
            <w:pPr>
              <w:jc w:val="both"/>
              <w:rPr>
                <w:b/>
                <w:u w:val="single"/>
              </w:rPr>
            </w:pPr>
            <w:r>
              <w:rPr>
                <w:b/>
                <w:u w:val="single"/>
              </w:rPr>
              <w:t>COMPARISON OF ORIGINAL AND SUBSTITUTE</w:t>
            </w:r>
          </w:p>
          <w:p w:rsidR="00EE5DC9" w:rsidRDefault="00C64159" w:rsidP="00EE5DC9">
            <w:pPr>
              <w:jc w:val="both"/>
            </w:pPr>
          </w:p>
          <w:p w:rsidR="00CA4EFF" w:rsidRDefault="00C64159" w:rsidP="00EE5DC9">
            <w:pPr>
              <w:jc w:val="both"/>
            </w:pPr>
            <w:r>
              <w:t xml:space="preserve">While C.S.H.B. 1273 may differ from the original in minor or nonsubstantive ways, the </w:t>
            </w:r>
            <w:r>
              <w:t>following summarizes the substantial differences between the introduced and committee substitute versions of the bill.</w:t>
            </w:r>
          </w:p>
          <w:p w:rsidR="00A80BB0" w:rsidRDefault="00C64159" w:rsidP="00EE5DC9">
            <w:pPr>
              <w:jc w:val="both"/>
            </w:pPr>
          </w:p>
          <w:p w:rsidR="00FD36C2" w:rsidRDefault="00C64159" w:rsidP="00EE5DC9">
            <w:pPr>
              <w:jc w:val="both"/>
            </w:pPr>
            <w:r>
              <w:t xml:space="preserve">The </w:t>
            </w:r>
            <w:r>
              <w:t xml:space="preserve">substitute </w:t>
            </w:r>
            <w:r>
              <w:t>includes exemptions to the prohibition against a health benefit plan issuer denying or reducing payments under certain ci</w:t>
            </w:r>
            <w:r>
              <w:t>rcumstances.</w:t>
            </w:r>
          </w:p>
          <w:p w:rsidR="00FD36C2" w:rsidRDefault="00C64159" w:rsidP="00EE5DC9">
            <w:pPr>
              <w:jc w:val="both"/>
            </w:pPr>
          </w:p>
          <w:p w:rsidR="00A80BB0" w:rsidRDefault="00C64159" w:rsidP="00EE5DC9">
            <w:pPr>
              <w:jc w:val="both"/>
            </w:pPr>
            <w:r>
              <w:t>The substitute includes a provision establishing that nothing in the bill limits the liability of a physician or health care provider in certain specified situations.</w:t>
            </w:r>
          </w:p>
          <w:p w:rsidR="00CA4EFF" w:rsidRPr="00CA4EFF" w:rsidRDefault="00C64159" w:rsidP="00EE5DC9">
            <w:pPr>
              <w:jc w:val="both"/>
            </w:pPr>
          </w:p>
        </w:tc>
      </w:tr>
      <w:tr w:rsidR="00624BD6" w:rsidTr="00345119">
        <w:tc>
          <w:tcPr>
            <w:tcW w:w="9576" w:type="dxa"/>
          </w:tcPr>
          <w:p w:rsidR="00CF6982" w:rsidRPr="009C1E9A" w:rsidRDefault="00C64159" w:rsidP="00EE5DC9">
            <w:pPr>
              <w:rPr>
                <w:b/>
                <w:u w:val="single"/>
              </w:rPr>
            </w:pPr>
          </w:p>
        </w:tc>
      </w:tr>
      <w:tr w:rsidR="00624BD6" w:rsidTr="00345119">
        <w:tc>
          <w:tcPr>
            <w:tcW w:w="9576" w:type="dxa"/>
          </w:tcPr>
          <w:p w:rsidR="00CF6982" w:rsidRPr="00CF6982" w:rsidRDefault="00C64159" w:rsidP="00EE5DC9">
            <w:pPr>
              <w:jc w:val="both"/>
            </w:pPr>
          </w:p>
        </w:tc>
      </w:tr>
    </w:tbl>
    <w:p w:rsidR="008423E4" w:rsidRPr="00BE0E75" w:rsidRDefault="00C64159" w:rsidP="008423E4">
      <w:pPr>
        <w:spacing w:line="480" w:lineRule="auto"/>
        <w:jc w:val="both"/>
        <w:rPr>
          <w:rFonts w:ascii="Arial" w:hAnsi="Arial"/>
          <w:sz w:val="16"/>
          <w:szCs w:val="16"/>
        </w:rPr>
      </w:pPr>
    </w:p>
    <w:p w:rsidR="004108C3" w:rsidRPr="008423E4" w:rsidRDefault="00C64159"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64159">
      <w:r>
        <w:separator/>
      </w:r>
    </w:p>
  </w:endnote>
  <w:endnote w:type="continuationSeparator" w:id="0">
    <w:p w:rsidR="00000000" w:rsidRDefault="00C6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64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624BD6" w:rsidTr="009C1E9A">
      <w:trPr>
        <w:cantSplit/>
      </w:trPr>
      <w:tc>
        <w:tcPr>
          <w:tcW w:w="0" w:type="pct"/>
        </w:tcPr>
        <w:p w:rsidR="00137D90" w:rsidRDefault="00C64159" w:rsidP="009C1E9A">
          <w:pPr>
            <w:pStyle w:val="Footer"/>
            <w:tabs>
              <w:tab w:val="clear" w:pos="8640"/>
              <w:tab w:val="right" w:pos="9360"/>
            </w:tabs>
          </w:pPr>
        </w:p>
      </w:tc>
      <w:tc>
        <w:tcPr>
          <w:tcW w:w="2395" w:type="pct"/>
        </w:tcPr>
        <w:p w:rsidR="00137D90" w:rsidRDefault="00C64159" w:rsidP="009C1E9A">
          <w:pPr>
            <w:pStyle w:val="Footer"/>
            <w:tabs>
              <w:tab w:val="clear" w:pos="8640"/>
              <w:tab w:val="right" w:pos="9360"/>
            </w:tabs>
          </w:pPr>
        </w:p>
        <w:p w:rsidR="001A4310" w:rsidRDefault="00C64159" w:rsidP="009C1E9A">
          <w:pPr>
            <w:pStyle w:val="Footer"/>
            <w:tabs>
              <w:tab w:val="clear" w:pos="8640"/>
              <w:tab w:val="right" w:pos="9360"/>
            </w:tabs>
          </w:pPr>
        </w:p>
        <w:p w:rsidR="00137D90" w:rsidRDefault="00C64159" w:rsidP="009C1E9A">
          <w:pPr>
            <w:pStyle w:val="Footer"/>
            <w:tabs>
              <w:tab w:val="clear" w:pos="8640"/>
              <w:tab w:val="right" w:pos="9360"/>
            </w:tabs>
          </w:pPr>
        </w:p>
      </w:tc>
      <w:tc>
        <w:tcPr>
          <w:tcW w:w="2453" w:type="pct"/>
        </w:tcPr>
        <w:p w:rsidR="00137D90" w:rsidRDefault="00C64159" w:rsidP="009C1E9A">
          <w:pPr>
            <w:pStyle w:val="Footer"/>
            <w:tabs>
              <w:tab w:val="clear" w:pos="8640"/>
              <w:tab w:val="right" w:pos="9360"/>
            </w:tabs>
            <w:jc w:val="right"/>
          </w:pPr>
        </w:p>
      </w:tc>
    </w:tr>
    <w:tr w:rsidR="00624BD6" w:rsidTr="009C1E9A">
      <w:trPr>
        <w:cantSplit/>
      </w:trPr>
      <w:tc>
        <w:tcPr>
          <w:tcW w:w="0" w:type="pct"/>
        </w:tcPr>
        <w:p w:rsidR="00EC379B" w:rsidRDefault="00C64159" w:rsidP="009C1E9A">
          <w:pPr>
            <w:pStyle w:val="Footer"/>
            <w:tabs>
              <w:tab w:val="clear" w:pos="8640"/>
              <w:tab w:val="right" w:pos="9360"/>
            </w:tabs>
          </w:pPr>
        </w:p>
      </w:tc>
      <w:tc>
        <w:tcPr>
          <w:tcW w:w="2395" w:type="pct"/>
        </w:tcPr>
        <w:p w:rsidR="00EC379B" w:rsidRPr="009C1E9A" w:rsidRDefault="00C64159" w:rsidP="009C1E9A">
          <w:pPr>
            <w:pStyle w:val="Footer"/>
            <w:tabs>
              <w:tab w:val="clear" w:pos="8640"/>
              <w:tab w:val="right" w:pos="9360"/>
            </w:tabs>
            <w:rPr>
              <w:rFonts w:ascii="Shruti" w:hAnsi="Shruti"/>
              <w:sz w:val="22"/>
            </w:rPr>
          </w:pPr>
          <w:r>
            <w:rPr>
              <w:rFonts w:ascii="Shruti" w:hAnsi="Shruti"/>
              <w:sz w:val="22"/>
            </w:rPr>
            <w:t>86R 24928</w:t>
          </w:r>
        </w:p>
      </w:tc>
      <w:tc>
        <w:tcPr>
          <w:tcW w:w="2453" w:type="pct"/>
        </w:tcPr>
        <w:p w:rsidR="00EC379B" w:rsidRDefault="00C64159" w:rsidP="009C1E9A">
          <w:pPr>
            <w:pStyle w:val="Footer"/>
            <w:tabs>
              <w:tab w:val="clear" w:pos="8640"/>
              <w:tab w:val="right" w:pos="9360"/>
            </w:tabs>
            <w:jc w:val="right"/>
          </w:pPr>
          <w:r>
            <w:fldChar w:fldCharType="begin"/>
          </w:r>
          <w:r>
            <w:instrText xml:space="preserve"> DOCPROPERTY  OTID  \* MERGEFORMAT </w:instrText>
          </w:r>
          <w:r>
            <w:fldChar w:fldCharType="separate"/>
          </w:r>
          <w:r>
            <w:t>19.95.1165</w:t>
          </w:r>
          <w:r>
            <w:fldChar w:fldCharType="end"/>
          </w:r>
        </w:p>
      </w:tc>
    </w:tr>
    <w:tr w:rsidR="00624BD6" w:rsidTr="009C1E9A">
      <w:trPr>
        <w:cantSplit/>
      </w:trPr>
      <w:tc>
        <w:tcPr>
          <w:tcW w:w="0" w:type="pct"/>
        </w:tcPr>
        <w:p w:rsidR="00EC379B" w:rsidRDefault="00C64159" w:rsidP="009C1E9A">
          <w:pPr>
            <w:pStyle w:val="Footer"/>
            <w:tabs>
              <w:tab w:val="clear" w:pos="4320"/>
              <w:tab w:val="clear" w:pos="8640"/>
              <w:tab w:val="left" w:pos="2865"/>
            </w:tabs>
          </w:pPr>
        </w:p>
      </w:tc>
      <w:tc>
        <w:tcPr>
          <w:tcW w:w="2395" w:type="pct"/>
        </w:tcPr>
        <w:p w:rsidR="00EC379B" w:rsidRPr="009C1E9A" w:rsidRDefault="00C64159" w:rsidP="009C1E9A">
          <w:pPr>
            <w:pStyle w:val="Footer"/>
            <w:tabs>
              <w:tab w:val="clear" w:pos="4320"/>
              <w:tab w:val="clear" w:pos="8640"/>
              <w:tab w:val="left" w:pos="2865"/>
            </w:tabs>
            <w:rPr>
              <w:rFonts w:ascii="Shruti" w:hAnsi="Shruti"/>
              <w:sz w:val="22"/>
            </w:rPr>
          </w:pPr>
          <w:r>
            <w:rPr>
              <w:rFonts w:ascii="Shruti" w:hAnsi="Shruti"/>
              <w:sz w:val="22"/>
            </w:rPr>
            <w:t>Substitute Document Number: 86R 21738</w:t>
          </w:r>
        </w:p>
      </w:tc>
      <w:tc>
        <w:tcPr>
          <w:tcW w:w="2453" w:type="pct"/>
        </w:tcPr>
        <w:p w:rsidR="00EC379B" w:rsidRDefault="00C64159" w:rsidP="006D504F">
          <w:pPr>
            <w:pStyle w:val="Footer"/>
            <w:rPr>
              <w:rStyle w:val="PageNumber"/>
            </w:rPr>
          </w:pPr>
        </w:p>
        <w:p w:rsidR="00EC379B" w:rsidRDefault="00C64159" w:rsidP="009C1E9A">
          <w:pPr>
            <w:pStyle w:val="Footer"/>
            <w:tabs>
              <w:tab w:val="clear" w:pos="8640"/>
              <w:tab w:val="right" w:pos="9360"/>
            </w:tabs>
            <w:jc w:val="right"/>
          </w:pPr>
        </w:p>
      </w:tc>
    </w:tr>
    <w:tr w:rsidR="00624BD6" w:rsidTr="009C1E9A">
      <w:trPr>
        <w:cantSplit/>
        <w:trHeight w:val="323"/>
      </w:trPr>
      <w:tc>
        <w:tcPr>
          <w:tcW w:w="0" w:type="pct"/>
          <w:gridSpan w:val="3"/>
        </w:tcPr>
        <w:p w:rsidR="00EC379B" w:rsidRDefault="00C64159"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64159" w:rsidP="009C1E9A">
          <w:pPr>
            <w:pStyle w:val="Footer"/>
            <w:tabs>
              <w:tab w:val="clear" w:pos="8640"/>
              <w:tab w:val="right" w:pos="9360"/>
            </w:tabs>
            <w:jc w:val="center"/>
          </w:pPr>
        </w:p>
      </w:tc>
    </w:tr>
  </w:tbl>
  <w:p w:rsidR="00EC379B" w:rsidRPr="00FF6F72" w:rsidRDefault="00C64159"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641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64159">
      <w:r>
        <w:separator/>
      </w:r>
    </w:p>
  </w:footnote>
  <w:footnote w:type="continuationSeparator" w:id="0">
    <w:p w:rsidR="00000000" w:rsidRDefault="00C64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641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641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C641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C11A3"/>
    <w:multiLevelType w:val="hybridMultilevel"/>
    <w:tmpl w:val="8854608E"/>
    <w:lvl w:ilvl="0" w:tplc="2092EC76">
      <w:start w:val="1"/>
      <w:numFmt w:val="bullet"/>
      <w:lvlText w:val=""/>
      <w:lvlJc w:val="left"/>
      <w:pPr>
        <w:tabs>
          <w:tab w:val="num" w:pos="720"/>
        </w:tabs>
        <w:ind w:left="720" w:hanging="360"/>
      </w:pPr>
      <w:rPr>
        <w:rFonts w:ascii="Symbol" w:hAnsi="Symbol" w:hint="default"/>
      </w:rPr>
    </w:lvl>
    <w:lvl w:ilvl="1" w:tplc="15AE15FE" w:tentative="1">
      <w:start w:val="1"/>
      <w:numFmt w:val="bullet"/>
      <w:lvlText w:val="o"/>
      <w:lvlJc w:val="left"/>
      <w:pPr>
        <w:ind w:left="1440" w:hanging="360"/>
      </w:pPr>
      <w:rPr>
        <w:rFonts w:ascii="Courier New" w:hAnsi="Courier New" w:cs="Courier New" w:hint="default"/>
      </w:rPr>
    </w:lvl>
    <w:lvl w:ilvl="2" w:tplc="EFF2B6E4" w:tentative="1">
      <w:start w:val="1"/>
      <w:numFmt w:val="bullet"/>
      <w:lvlText w:val=""/>
      <w:lvlJc w:val="left"/>
      <w:pPr>
        <w:ind w:left="2160" w:hanging="360"/>
      </w:pPr>
      <w:rPr>
        <w:rFonts w:ascii="Wingdings" w:hAnsi="Wingdings" w:hint="default"/>
      </w:rPr>
    </w:lvl>
    <w:lvl w:ilvl="3" w:tplc="ED568DB4" w:tentative="1">
      <w:start w:val="1"/>
      <w:numFmt w:val="bullet"/>
      <w:lvlText w:val=""/>
      <w:lvlJc w:val="left"/>
      <w:pPr>
        <w:ind w:left="2880" w:hanging="360"/>
      </w:pPr>
      <w:rPr>
        <w:rFonts w:ascii="Symbol" w:hAnsi="Symbol" w:hint="default"/>
      </w:rPr>
    </w:lvl>
    <w:lvl w:ilvl="4" w:tplc="B86A35B4" w:tentative="1">
      <w:start w:val="1"/>
      <w:numFmt w:val="bullet"/>
      <w:lvlText w:val="o"/>
      <w:lvlJc w:val="left"/>
      <w:pPr>
        <w:ind w:left="3600" w:hanging="360"/>
      </w:pPr>
      <w:rPr>
        <w:rFonts w:ascii="Courier New" w:hAnsi="Courier New" w:cs="Courier New" w:hint="default"/>
      </w:rPr>
    </w:lvl>
    <w:lvl w:ilvl="5" w:tplc="C6E615C0" w:tentative="1">
      <w:start w:val="1"/>
      <w:numFmt w:val="bullet"/>
      <w:lvlText w:val=""/>
      <w:lvlJc w:val="left"/>
      <w:pPr>
        <w:ind w:left="4320" w:hanging="360"/>
      </w:pPr>
      <w:rPr>
        <w:rFonts w:ascii="Wingdings" w:hAnsi="Wingdings" w:hint="default"/>
      </w:rPr>
    </w:lvl>
    <w:lvl w:ilvl="6" w:tplc="A524D4CA" w:tentative="1">
      <w:start w:val="1"/>
      <w:numFmt w:val="bullet"/>
      <w:lvlText w:val=""/>
      <w:lvlJc w:val="left"/>
      <w:pPr>
        <w:ind w:left="5040" w:hanging="360"/>
      </w:pPr>
      <w:rPr>
        <w:rFonts w:ascii="Symbol" w:hAnsi="Symbol" w:hint="default"/>
      </w:rPr>
    </w:lvl>
    <w:lvl w:ilvl="7" w:tplc="DB6A08FC" w:tentative="1">
      <w:start w:val="1"/>
      <w:numFmt w:val="bullet"/>
      <w:lvlText w:val="o"/>
      <w:lvlJc w:val="left"/>
      <w:pPr>
        <w:ind w:left="5760" w:hanging="360"/>
      </w:pPr>
      <w:rPr>
        <w:rFonts w:ascii="Courier New" w:hAnsi="Courier New" w:cs="Courier New" w:hint="default"/>
      </w:rPr>
    </w:lvl>
    <w:lvl w:ilvl="8" w:tplc="2594E0AE"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BD6"/>
    <w:rsid w:val="00624BD6"/>
    <w:rsid w:val="00C64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575E87-4246-4530-B6E2-A1250CD14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1C52B9"/>
    <w:rPr>
      <w:sz w:val="16"/>
      <w:szCs w:val="16"/>
    </w:rPr>
  </w:style>
  <w:style w:type="paragraph" w:styleId="CommentText">
    <w:name w:val="annotation text"/>
    <w:basedOn w:val="Normal"/>
    <w:link w:val="CommentTextChar"/>
    <w:semiHidden/>
    <w:unhideWhenUsed/>
    <w:rsid w:val="001C52B9"/>
    <w:rPr>
      <w:sz w:val="20"/>
      <w:szCs w:val="20"/>
    </w:rPr>
  </w:style>
  <w:style w:type="character" w:customStyle="1" w:styleId="CommentTextChar">
    <w:name w:val="Comment Text Char"/>
    <w:basedOn w:val="DefaultParagraphFont"/>
    <w:link w:val="CommentText"/>
    <w:semiHidden/>
    <w:rsid w:val="001C52B9"/>
  </w:style>
  <w:style w:type="paragraph" w:styleId="CommentSubject">
    <w:name w:val="annotation subject"/>
    <w:basedOn w:val="CommentText"/>
    <w:next w:val="CommentText"/>
    <w:link w:val="CommentSubjectChar"/>
    <w:semiHidden/>
    <w:unhideWhenUsed/>
    <w:rsid w:val="001C52B9"/>
    <w:rPr>
      <w:b/>
      <w:bCs/>
    </w:rPr>
  </w:style>
  <w:style w:type="character" w:customStyle="1" w:styleId="CommentSubjectChar">
    <w:name w:val="Comment Subject Char"/>
    <w:basedOn w:val="CommentTextChar"/>
    <w:link w:val="CommentSubject"/>
    <w:semiHidden/>
    <w:rsid w:val="001C52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2498</Characters>
  <Application>Microsoft Office Word</Application>
  <DocSecurity>4</DocSecurity>
  <Lines>70</Lines>
  <Paragraphs>22</Paragraphs>
  <ScaleCrop>false</ScaleCrop>
  <HeadingPairs>
    <vt:vector size="2" baseType="variant">
      <vt:variant>
        <vt:lpstr>Title</vt:lpstr>
      </vt:variant>
      <vt:variant>
        <vt:i4>1</vt:i4>
      </vt:variant>
    </vt:vector>
  </HeadingPairs>
  <TitlesOfParts>
    <vt:vector size="1" baseType="lpstr">
      <vt:lpstr>BA - HB01273 (Committee Report (Substituted))</vt:lpstr>
    </vt:vector>
  </TitlesOfParts>
  <Company>State of Texas</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24928</dc:subject>
  <dc:creator>State of Texas</dc:creator>
  <dc:description>HB 1273 by Zedler-(H)Insurance (Substitute Document Number: 86R 21738)</dc:description>
  <cp:lastModifiedBy>Erin Conway</cp:lastModifiedBy>
  <cp:revision>2</cp:revision>
  <cp:lastPrinted>2003-11-26T17:21:00Z</cp:lastPrinted>
  <dcterms:created xsi:type="dcterms:W3CDTF">2019-04-10T23:09:00Z</dcterms:created>
  <dcterms:modified xsi:type="dcterms:W3CDTF">2019-04-10T23:09:00Z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19.95.1165</vt:lpwstr>
  </property>
</Properties>
</file>