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762AD" w:rsidTr="00345119">
        <w:tc>
          <w:tcPr>
            <w:tcW w:w="9576" w:type="dxa"/>
            <w:noWrap/>
          </w:tcPr>
          <w:p w:rsidR="008423E4" w:rsidRPr="0022177D" w:rsidRDefault="00B7388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73881" w:rsidP="008423E4">
      <w:pPr>
        <w:jc w:val="center"/>
      </w:pPr>
    </w:p>
    <w:p w:rsidR="008423E4" w:rsidRPr="00B31F0E" w:rsidRDefault="00B73881" w:rsidP="008423E4"/>
    <w:p w:rsidR="008423E4" w:rsidRPr="00742794" w:rsidRDefault="00B7388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762AD" w:rsidTr="00345119">
        <w:tc>
          <w:tcPr>
            <w:tcW w:w="9576" w:type="dxa"/>
          </w:tcPr>
          <w:p w:rsidR="008423E4" w:rsidRPr="00861995" w:rsidRDefault="00B73881" w:rsidP="00345119">
            <w:pPr>
              <w:jc w:val="right"/>
            </w:pPr>
            <w:r>
              <w:t>C.S.H.B. 1306</w:t>
            </w:r>
          </w:p>
        </w:tc>
      </w:tr>
      <w:tr w:rsidR="003762AD" w:rsidTr="00345119">
        <w:tc>
          <w:tcPr>
            <w:tcW w:w="9576" w:type="dxa"/>
          </w:tcPr>
          <w:p w:rsidR="008423E4" w:rsidRPr="00861995" w:rsidRDefault="00B73881" w:rsidP="00A13107">
            <w:pPr>
              <w:jc w:val="right"/>
            </w:pPr>
            <w:r>
              <w:t xml:space="preserve">By: </w:t>
            </w:r>
            <w:r>
              <w:t>Frullo</w:t>
            </w:r>
          </w:p>
        </w:tc>
      </w:tr>
      <w:tr w:rsidR="003762AD" w:rsidTr="00345119">
        <w:tc>
          <w:tcPr>
            <w:tcW w:w="9576" w:type="dxa"/>
          </w:tcPr>
          <w:p w:rsidR="008423E4" w:rsidRPr="00861995" w:rsidRDefault="00B73881" w:rsidP="00345119">
            <w:pPr>
              <w:jc w:val="right"/>
            </w:pPr>
            <w:r>
              <w:t>Insurance</w:t>
            </w:r>
          </w:p>
        </w:tc>
      </w:tr>
      <w:tr w:rsidR="003762AD" w:rsidTr="00345119">
        <w:tc>
          <w:tcPr>
            <w:tcW w:w="9576" w:type="dxa"/>
          </w:tcPr>
          <w:p w:rsidR="008423E4" w:rsidRDefault="00B73881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B73881" w:rsidP="008423E4">
      <w:pPr>
        <w:tabs>
          <w:tab w:val="right" w:pos="9360"/>
        </w:tabs>
      </w:pPr>
    </w:p>
    <w:p w:rsidR="008423E4" w:rsidRDefault="00B73881" w:rsidP="008423E4"/>
    <w:p w:rsidR="008423E4" w:rsidRDefault="00B7388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762AD" w:rsidTr="00345119">
        <w:tc>
          <w:tcPr>
            <w:tcW w:w="9576" w:type="dxa"/>
          </w:tcPr>
          <w:p w:rsidR="008423E4" w:rsidRPr="00A8133F" w:rsidRDefault="00B73881" w:rsidP="00E14C4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73881" w:rsidP="00E14C40"/>
          <w:p w:rsidR="008423E4" w:rsidRDefault="00B73881" w:rsidP="00E14C40">
            <w:pPr>
              <w:pStyle w:val="Header"/>
              <w:jc w:val="both"/>
            </w:pPr>
            <w:r>
              <w:t>It has been suggested that</w:t>
            </w:r>
            <w:r>
              <w:t xml:space="preserve"> surplus lines </w:t>
            </w:r>
            <w:r>
              <w:t xml:space="preserve">insurers </w:t>
            </w:r>
            <w:r>
              <w:t>have been providing property owners with flood coverage at reasonable rates</w:t>
            </w:r>
            <w:r>
              <w:t xml:space="preserve"> in recent years</w:t>
            </w:r>
            <w:r>
              <w:t xml:space="preserve">, often to insure property in </w:t>
            </w:r>
            <w:r>
              <w:t>s</w:t>
            </w:r>
            <w:r>
              <w:t xml:space="preserve">pecial </w:t>
            </w:r>
            <w:r>
              <w:t>f</w:t>
            </w:r>
            <w:r>
              <w:t xml:space="preserve">lood </w:t>
            </w:r>
            <w:r>
              <w:t>h</w:t>
            </w:r>
            <w:r>
              <w:t xml:space="preserve">azard </w:t>
            </w:r>
            <w:r>
              <w:t>a</w:t>
            </w:r>
            <w:r>
              <w:t>reas designated by FEMA maps. In the aftermath of recent flood events</w:t>
            </w:r>
            <w:r>
              <w:t xml:space="preserve"> in Texas</w:t>
            </w:r>
            <w:r>
              <w:t xml:space="preserve">, </w:t>
            </w:r>
            <w:r>
              <w:t>there have been calls from</w:t>
            </w:r>
            <w:r>
              <w:t xml:space="preserve"> property owners </w:t>
            </w:r>
            <w:r>
              <w:t xml:space="preserve">for </w:t>
            </w:r>
            <w:r>
              <w:t xml:space="preserve">access to </w:t>
            </w:r>
            <w:r>
              <w:t>more</w:t>
            </w:r>
            <w:r>
              <w:t xml:space="preserve"> option</w:t>
            </w:r>
            <w:r>
              <w:t>s</w:t>
            </w:r>
            <w:r>
              <w:t xml:space="preserve"> to mitigate the risk of future flood e</w:t>
            </w:r>
            <w:r>
              <w:t xml:space="preserve">vents. </w:t>
            </w:r>
            <w:r>
              <w:t>C.S.</w:t>
            </w:r>
            <w:r>
              <w:t>H.B. 1306 seeks to address this issue by providing</w:t>
            </w:r>
            <w:r>
              <w:t xml:space="preserve"> for</w:t>
            </w:r>
            <w:r>
              <w:t xml:space="preserve"> </w:t>
            </w:r>
            <w:r>
              <w:t xml:space="preserve">additional </w:t>
            </w:r>
            <w:r>
              <w:t xml:space="preserve">flood coverage </w:t>
            </w:r>
            <w:r>
              <w:t xml:space="preserve">access </w:t>
            </w:r>
            <w:r>
              <w:t>under insurance policies issued by surplus lines insurers</w:t>
            </w:r>
            <w:r>
              <w:t xml:space="preserve">.  </w:t>
            </w:r>
          </w:p>
          <w:p w:rsidR="008423E4" w:rsidRPr="00E26B13" w:rsidRDefault="00B73881" w:rsidP="00E14C40">
            <w:pPr>
              <w:rPr>
                <w:b/>
              </w:rPr>
            </w:pPr>
          </w:p>
        </w:tc>
      </w:tr>
      <w:tr w:rsidR="003762AD" w:rsidTr="00345119">
        <w:tc>
          <w:tcPr>
            <w:tcW w:w="9576" w:type="dxa"/>
          </w:tcPr>
          <w:p w:rsidR="0017725B" w:rsidRDefault="00B73881" w:rsidP="00E14C4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73881" w:rsidP="00E14C40">
            <w:pPr>
              <w:rPr>
                <w:b/>
                <w:u w:val="single"/>
              </w:rPr>
            </w:pPr>
          </w:p>
          <w:p w:rsidR="000243A7" w:rsidRPr="000243A7" w:rsidRDefault="00B73881" w:rsidP="00E14C40">
            <w:pPr>
              <w:jc w:val="both"/>
            </w:pPr>
            <w:r>
              <w:t xml:space="preserve">It is the committee's opinion that this bill does not expressly </w:t>
            </w:r>
            <w:r>
              <w:t>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73881" w:rsidP="00E14C40">
            <w:pPr>
              <w:rPr>
                <w:b/>
                <w:u w:val="single"/>
              </w:rPr>
            </w:pPr>
          </w:p>
        </w:tc>
      </w:tr>
      <w:tr w:rsidR="003762AD" w:rsidTr="00345119">
        <w:tc>
          <w:tcPr>
            <w:tcW w:w="9576" w:type="dxa"/>
          </w:tcPr>
          <w:p w:rsidR="008423E4" w:rsidRPr="00A8133F" w:rsidRDefault="00B73881" w:rsidP="00E14C4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73881" w:rsidP="00E14C40"/>
          <w:p w:rsidR="000243A7" w:rsidRDefault="00B73881" w:rsidP="00E14C4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</w:t>
            </w:r>
            <w:r>
              <w:t>opinion that this bill does not expressly grant any additional rulemaking authority to a state officer, department, agency, or institution.</w:t>
            </w:r>
          </w:p>
          <w:p w:rsidR="008423E4" w:rsidRPr="00E21FDC" w:rsidRDefault="00B73881" w:rsidP="00E14C40">
            <w:pPr>
              <w:rPr>
                <w:b/>
              </w:rPr>
            </w:pPr>
          </w:p>
        </w:tc>
      </w:tr>
      <w:tr w:rsidR="003762AD" w:rsidTr="00345119">
        <w:tc>
          <w:tcPr>
            <w:tcW w:w="9576" w:type="dxa"/>
          </w:tcPr>
          <w:p w:rsidR="008423E4" w:rsidRPr="00A8133F" w:rsidRDefault="00B73881" w:rsidP="00E14C4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73881" w:rsidP="00E14C40"/>
          <w:p w:rsidR="00F054B7" w:rsidRDefault="00B73881" w:rsidP="00E14C4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1306 amends the Insurance Code </w:t>
            </w:r>
            <w:r>
              <w:t>t</w:t>
            </w:r>
            <w:r>
              <w:t xml:space="preserve">o </w:t>
            </w:r>
            <w:r>
              <w:t xml:space="preserve">exempt </w:t>
            </w:r>
            <w:r>
              <w:t>flood coverage under a policy issued by an eligible s</w:t>
            </w:r>
            <w:r>
              <w:t xml:space="preserve">urplus lines insurer </w:t>
            </w:r>
            <w:r>
              <w:t xml:space="preserve">that has a financial strength rating of A- or better from the A.M. Best Company </w:t>
            </w:r>
            <w:r>
              <w:t xml:space="preserve">from the </w:t>
            </w:r>
            <w:r>
              <w:t xml:space="preserve">limitation on </w:t>
            </w:r>
            <w:r>
              <w:t>such an insurer provid</w:t>
            </w:r>
            <w:r>
              <w:t>ing</w:t>
            </w:r>
            <w:r>
              <w:t xml:space="preserve"> surplus lines insurance </w:t>
            </w:r>
            <w:r>
              <w:t>in the following circumstances:</w:t>
            </w:r>
          </w:p>
          <w:p w:rsidR="00F054B7" w:rsidRDefault="00B73881" w:rsidP="00E14C4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only if </w:t>
            </w:r>
            <w:r w:rsidRPr="00C30A13">
              <w:t>the full amount of required insurance cann</w:t>
            </w:r>
            <w:r w:rsidRPr="00C30A13">
              <w:t>ot be obtained, after a diligent effort, from an insurer authorized to write and actually writing that kind and c</w:t>
            </w:r>
            <w:r>
              <w:t xml:space="preserve">lass of insurance in </w:t>
            </w:r>
            <w:r>
              <w:t>Texas</w:t>
            </w:r>
            <w:r>
              <w:t>;</w:t>
            </w:r>
            <w:r>
              <w:t xml:space="preserve"> and</w:t>
            </w:r>
          </w:p>
          <w:p w:rsidR="00F054B7" w:rsidRDefault="00B73881" w:rsidP="00E14C4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E47F0D">
              <w:t>only in the amount that exceeds the amount of insurance obtainable from authorized insurers</w:t>
            </w:r>
            <w:r>
              <w:t>.</w:t>
            </w:r>
          </w:p>
          <w:p w:rsidR="00E52376" w:rsidRDefault="00B73881" w:rsidP="005014D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EE5396" w:rsidRDefault="00B73881" w:rsidP="00E14C4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applies </w:t>
            </w:r>
            <w:r>
              <w:t xml:space="preserve">only to </w:t>
            </w:r>
            <w:r w:rsidRPr="000243A7">
              <w:t>an insurance policy delivered, issued for delivery, or renewed on or after January 1, 2020</w:t>
            </w:r>
            <w:r>
              <w:t>.</w:t>
            </w:r>
            <w:r>
              <w:t xml:space="preserve"> </w:t>
            </w:r>
          </w:p>
          <w:p w:rsidR="008423E4" w:rsidRPr="00835628" w:rsidRDefault="00B73881" w:rsidP="00E14C40">
            <w:pPr>
              <w:rPr>
                <w:b/>
              </w:rPr>
            </w:pPr>
          </w:p>
        </w:tc>
      </w:tr>
      <w:tr w:rsidR="003762AD" w:rsidTr="00345119">
        <w:tc>
          <w:tcPr>
            <w:tcW w:w="9576" w:type="dxa"/>
          </w:tcPr>
          <w:p w:rsidR="008423E4" w:rsidRPr="00A8133F" w:rsidRDefault="00B73881" w:rsidP="00E14C4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73881" w:rsidP="00E14C40"/>
          <w:p w:rsidR="008423E4" w:rsidRPr="003624F2" w:rsidRDefault="00B73881" w:rsidP="00E14C4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B73881" w:rsidP="00E14C40">
            <w:pPr>
              <w:rPr>
                <w:b/>
              </w:rPr>
            </w:pPr>
          </w:p>
        </w:tc>
      </w:tr>
      <w:tr w:rsidR="003762AD" w:rsidTr="00345119">
        <w:tc>
          <w:tcPr>
            <w:tcW w:w="9576" w:type="dxa"/>
          </w:tcPr>
          <w:p w:rsidR="00A13107" w:rsidRDefault="00B73881" w:rsidP="00E14C4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9F0975" w:rsidRDefault="00B73881" w:rsidP="00E14C40">
            <w:pPr>
              <w:jc w:val="both"/>
            </w:pPr>
          </w:p>
          <w:p w:rsidR="009F0975" w:rsidRDefault="00B73881" w:rsidP="00E14C40">
            <w:pPr>
              <w:jc w:val="both"/>
            </w:pPr>
            <w:r>
              <w:t xml:space="preserve">While C.S.H.B. 1306 may differ from the original in minor or nonsubstantive </w:t>
            </w:r>
            <w:r>
              <w:t>ways, the following summarizes the substantial differences between the introduced and committee substitute versions of the bill.</w:t>
            </w:r>
          </w:p>
          <w:p w:rsidR="009F0975" w:rsidRDefault="00B73881" w:rsidP="00E14C40">
            <w:pPr>
              <w:jc w:val="both"/>
            </w:pPr>
          </w:p>
          <w:p w:rsidR="009F0975" w:rsidRPr="009F0975" w:rsidRDefault="00B73881" w:rsidP="00E14C40">
            <w:pPr>
              <w:jc w:val="both"/>
            </w:pPr>
            <w:r>
              <w:t xml:space="preserve">The substitute includes a </w:t>
            </w:r>
            <w:r>
              <w:t>specification</w:t>
            </w:r>
            <w:r>
              <w:t xml:space="preserve"> that the </w:t>
            </w:r>
            <w:r>
              <w:t xml:space="preserve">eligible surplus insurer to which the </w:t>
            </w:r>
            <w:r>
              <w:t>exemption applies has a financial stren</w:t>
            </w:r>
            <w:r>
              <w:t>gth rating of A- or better from the A.M. Best Company.</w:t>
            </w:r>
          </w:p>
        </w:tc>
      </w:tr>
    </w:tbl>
    <w:p w:rsidR="004108C3" w:rsidRPr="005014D6" w:rsidRDefault="00B73881">
      <w:pPr>
        <w:rPr>
          <w:sz w:val="2"/>
          <w:szCs w:val="2"/>
        </w:rPr>
      </w:pPr>
    </w:p>
    <w:sectPr w:rsidR="004108C3" w:rsidRPr="005014D6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73881">
      <w:r>
        <w:separator/>
      </w:r>
    </w:p>
  </w:endnote>
  <w:endnote w:type="continuationSeparator" w:id="0">
    <w:p w:rsidR="00000000" w:rsidRDefault="00B73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64F" w:rsidRDefault="00B738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762AD" w:rsidTr="009C1E9A">
      <w:trPr>
        <w:cantSplit/>
      </w:trPr>
      <w:tc>
        <w:tcPr>
          <w:tcW w:w="0" w:type="pct"/>
        </w:tcPr>
        <w:p w:rsidR="00137D90" w:rsidRDefault="00B7388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Pr="00E14C40" w:rsidRDefault="00B73881" w:rsidP="009C1E9A">
          <w:pPr>
            <w:pStyle w:val="Footer"/>
            <w:tabs>
              <w:tab w:val="clear" w:pos="8640"/>
              <w:tab w:val="right" w:pos="9360"/>
            </w:tabs>
            <w:rPr>
              <w:sz w:val="2"/>
            </w:rPr>
          </w:pPr>
        </w:p>
        <w:p w:rsidR="001A4310" w:rsidRPr="00E14C40" w:rsidRDefault="00B73881" w:rsidP="009C1E9A">
          <w:pPr>
            <w:pStyle w:val="Footer"/>
            <w:tabs>
              <w:tab w:val="clear" w:pos="8640"/>
              <w:tab w:val="right" w:pos="9360"/>
            </w:tabs>
            <w:rPr>
              <w:sz w:val="2"/>
            </w:rPr>
          </w:pPr>
        </w:p>
        <w:p w:rsidR="00137D90" w:rsidRDefault="00B7388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7388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762AD" w:rsidTr="009C1E9A">
      <w:trPr>
        <w:cantSplit/>
      </w:trPr>
      <w:tc>
        <w:tcPr>
          <w:tcW w:w="0" w:type="pct"/>
        </w:tcPr>
        <w:p w:rsidR="00EC379B" w:rsidRDefault="00B7388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7388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24913</w:t>
          </w:r>
        </w:p>
      </w:tc>
      <w:tc>
        <w:tcPr>
          <w:tcW w:w="2453" w:type="pct"/>
        </w:tcPr>
        <w:p w:rsidR="00EC379B" w:rsidRDefault="00B7388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19.95.300</w:t>
          </w:r>
          <w:r>
            <w:fldChar w:fldCharType="end"/>
          </w:r>
        </w:p>
      </w:tc>
    </w:tr>
    <w:tr w:rsidR="003762AD" w:rsidTr="009C1E9A">
      <w:trPr>
        <w:cantSplit/>
      </w:trPr>
      <w:tc>
        <w:tcPr>
          <w:tcW w:w="0" w:type="pct"/>
        </w:tcPr>
        <w:p w:rsidR="00EC379B" w:rsidRDefault="00B7388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7388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16775</w:t>
          </w:r>
        </w:p>
      </w:tc>
      <w:tc>
        <w:tcPr>
          <w:tcW w:w="2453" w:type="pct"/>
        </w:tcPr>
        <w:p w:rsidR="00EC379B" w:rsidRPr="00E14C40" w:rsidRDefault="00B73881" w:rsidP="006D504F">
          <w:pPr>
            <w:pStyle w:val="Footer"/>
            <w:rPr>
              <w:rStyle w:val="PageNumber"/>
              <w:sz w:val="14"/>
            </w:rPr>
          </w:pPr>
        </w:p>
        <w:p w:rsidR="00EC379B" w:rsidRDefault="00B7388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762AD" w:rsidTr="009C1E9A">
      <w:trPr>
        <w:cantSplit/>
        <w:trHeight w:val="323"/>
      </w:trPr>
      <w:tc>
        <w:tcPr>
          <w:tcW w:w="0" w:type="pct"/>
          <w:gridSpan w:val="3"/>
        </w:tcPr>
        <w:p w:rsidR="00EC379B" w:rsidRPr="00E14C40" w:rsidRDefault="00B73881" w:rsidP="009C1E9A">
          <w:pPr>
            <w:pStyle w:val="Footer"/>
            <w:jc w:val="center"/>
            <w:rPr>
              <w:rStyle w:val="PageNumber"/>
              <w:sz w:val="10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7388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7388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64F" w:rsidRDefault="00B738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73881">
      <w:r>
        <w:separator/>
      </w:r>
    </w:p>
  </w:footnote>
  <w:footnote w:type="continuationSeparator" w:id="0">
    <w:p w:rsidR="00000000" w:rsidRDefault="00B73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64F" w:rsidRDefault="00B738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64F" w:rsidRDefault="00B738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64F" w:rsidRDefault="00B738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16E60"/>
    <w:multiLevelType w:val="hybridMultilevel"/>
    <w:tmpl w:val="70281E44"/>
    <w:lvl w:ilvl="0" w:tplc="7D406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0841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FCDE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8A50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FEE4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D08A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E2A3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09F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EC33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AD"/>
    <w:rsid w:val="003762AD"/>
    <w:rsid w:val="00B7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528639-6C0E-469C-AC9B-1A620BEC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243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3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3A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3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1949</Characters>
  <Application>Microsoft Office Word</Application>
  <DocSecurity>4</DocSecurity>
  <Lines>58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HB01306 (Committee Report (Substituted))</vt:lpstr>
    </vt:vector>
  </TitlesOfParts>
  <Company>State of Texas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24913</dc:subject>
  <dc:creator>State of Texas</dc:creator>
  <dc:description>HB 1306 by Frullo-(H)Insurance (Substitute Document Number: 86R 16775)</dc:description>
  <cp:lastModifiedBy>Laura Ramsay</cp:lastModifiedBy>
  <cp:revision>2</cp:revision>
  <cp:lastPrinted>2003-11-26T17:21:00Z</cp:lastPrinted>
  <dcterms:created xsi:type="dcterms:W3CDTF">2019-04-10T22:44:00Z</dcterms:created>
  <dcterms:modified xsi:type="dcterms:W3CDTF">2019-04-10T22:44:00Z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19.95.300</vt:lpwstr>
  </property>
</Properties>
</file>