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50278" w:rsidTr="00345119">
        <w:tc>
          <w:tcPr>
            <w:tcW w:w="9576" w:type="dxa"/>
            <w:noWrap/>
          </w:tcPr>
          <w:p w:rsidR="008423E4" w:rsidRPr="0022177D" w:rsidRDefault="00B17B23" w:rsidP="00345119">
            <w:pPr>
              <w:pStyle w:val="Heading1"/>
            </w:pPr>
            <w:bookmarkStart w:id="0" w:name="_GoBack"/>
            <w:bookmarkEnd w:id="0"/>
            <w:r w:rsidRPr="00631897">
              <w:t>BILL ANALYSIS</w:t>
            </w:r>
          </w:p>
        </w:tc>
      </w:tr>
    </w:tbl>
    <w:p w:rsidR="008423E4" w:rsidRPr="0022177D" w:rsidRDefault="00B17B23" w:rsidP="008423E4">
      <w:pPr>
        <w:jc w:val="center"/>
      </w:pPr>
    </w:p>
    <w:p w:rsidR="008423E4" w:rsidRPr="00B31F0E" w:rsidRDefault="00B17B23" w:rsidP="008423E4"/>
    <w:p w:rsidR="008423E4" w:rsidRPr="00742794" w:rsidRDefault="00B17B23" w:rsidP="008423E4">
      <w:pPr>
        <w:tabs>
          <w:tab w:val="right" w:pos="9360"/>
        </w:tabs>
      </w:pPr>
    </w:p>
    <w:tbl>
      <w:tblPr>
        <w:tblW w:w="0" w:type="auto"/>
        <w:tblLayout w:type="fixed"/>
        <w:tblLook w:val="01E0" w:firstRow="1" w:lastRow="1" w:firstColumn="1" w:lastColumn="1" w:noHBand="0" w:noVBand="0"/>
      </w:tblPr>
      <w:tblGrid>
        <w:gridCol w:w="9576"/>
      </w:tblGrid>
      <w:tr w:rsidR="00750278" w:rsidTr="00345119">
        <w:tc>
          <w:tcPr>
            <w:tcW w:w="9576" w:type="dxa"/>
          </w:tcPr>
          <w:p w:rsidR="008423E4" w:rsidRPr="00861995" w:rsidRDefault="00B17B23" w:rsidP="00345119">
            <w:pPr>
              <w:jc w:val="right"/>
            </w:pPr>
            <w:r>
              <w:t>C.S.H.B. 1323</w:t>
            </w:r>
          </w:p>
        </w:tc>
      </w:tr>
      <w:tr w:rsidR="00750278" w:rsidTr="00345119">
        <w:tc>
          <w:tcPr>
            <w:tcW w:w="9576" w:type="dxa"/>
          </w:tcPr>
          <w:p w:rsidR="008423E4" w:rsidRPr="00861995" w:rsidRDefault="00B17B23" w:rsidP="00823216">
            <w:pPr>
              <w:jc w:val="right"/>
            </w:pPr>
            <w:r>
              <w:t xml:space="preserve">By: </w:t>
            </w:r>
            <w:r>
              <w:t>Murr</w:t>
            </w:r>
          </w:p>
        </w:tc>
      </w:tr>
      <w:tr w:rsidR="00750278" w:rsidTr="00345119">
        <w:tc>
          <w:tcPr>
            <w:tcW w:w="9576" w:type="dxa"/>
          </w:tcPr>
          <w:p w:rsidR="008423E4" w:rsidRPr="00861995" w:rsidRDefault="00B17B23" w:rsidP="00345119">
            <w:pPr>
              <w:jc w:val="right"/>
            </w:pPr>
            <w:r>
              <w:t>Criminal Jurisprudence</w:t>
            </w:r>
          </w:p>
        </w:tc>
      </w:tr>
      <w:tr w:rsidR="00750278" w:rsidTr="00345119">
        <w:tc>
          <w:tcPr>
            <w:tcW w:w="9576" w:type="dxa"/>
          </w:tcPr>
          <w:p w:rsidR="008423E4" w:rsidRDefault="00B17B23" w:rsidP="00345119">
            <w:pPr>
              <w:jc w:val="right"/>
            </w:pPr>
            <w:r>
              <w:t>Committee Report (Substituted)</w:t>
            </w:r>
          </w:p>
        </w:tc>
      </w:tr>
    </w:tbl>
    <w:p w:rsidR="008423E4" w:rsidRDefault="00B17B23" w:rsidP="008423E4">
      <w:pPr>
        <w:tabs>
          <w:tab w:val="right" w:pos="9360"/>
        </w:tabs>
      </w:pPr>
    </w:p>
    <w:p w:rsidR="008423E4" w:rsidRDefault="00B17B23" w:rsidP="008423E4"/>
    <w:p w:rsidR="008423E4" w:rsidRDefault="00B17B23" w:rsidP="008423E4"/>
    <w:tbl>
      <w:tblPr>
        <w:tblW w:w="0" w:type="auto"/>
        <w:tblCellMar>
          <w:left w:w="115" w:type="dxa"/>
          <w:right w:w="115" w:type="dxa"/>
        </w:tblCellMar>
        <w:tblLook w:val="01E0" w:firstRow="1" w:lastRow="1" w:firstColumn="1" w:lastColumn="1" w:noHBand="0" w:noVBand="0"/>
      </w:tblPr>
      <w:tblGrid>
        <w:gridCol w:w="9576"/>
      </w:tblGrid>
      <w:tr w:rsidR="00750278" w:rsidTr="00345119">
        <w:tc>
          <w:tcPr>
            <w:tcW w:w="9576" w:type="dxa"/>
          </w:tcPr>
          <w:p w:rsidR="008423E4" w:rsidRPr="00A8133F" w:rsidRDefault="00B17B23" w:rsidP="002F320E">
            <w:pPr>
              <w:rPr>
                <w:b/>
              </w:rPr>
            </w:pPr>
            <w:r w:rsidRPr="009C1E9A">
              <w:rPr>
                <w:b/>
                <w:u w:val="single"/>
              </w:rPr>
              <w:t>BACKGROUND AND PURPOSE</w:t>
            </w:r>
            <w:r>
              <w:rPr>
                <w:b/>
              </w:rPr>
              <w:t xml:space="preserve"> </w:t>
            </w:r>
          </w:p>
          <w:p w:rsidR="008423E4" w:rsidRDefault="00B17B23" w:rsidP="002F320E"/>
          <w:p w:rsidR="008423E4" w:rsidRDefault="00B17B23" w:rsidP="002F320E">
            <w:pPr>
              <w:pStyle w:val="Header"/>
              <w:jc w:val="both"/>
            </w:pPr>
            <w:r>
              <w:t>It has been suggested</w:t>
            </w:r>
            <w:r>
              <w:t xml:space="preserve"> that despite the presumption of innocence, many </w:t>
            </w:r>
            <w:r>
              <w:t xml:space="preserve">criminal </w:t>
            </w:r>
            <w:r>
              <w:t xml:space="preserve">defendants in Texas are detained in jail before and during trial because they cannot post monetary bail. </w:t>
            </w:r>
            <w:r>
              <w:t xml:space="preserve">There have been </w:t>
            </w:r>
            <w:r>
              <w:t>call</w:t>
            </w:r>
            <w:r>
              <w:t>s</w:t>
            </w:r>
            <w:r>
              <w:t xml:space="preserve"> for revisions to bail practices in Texas with the goal of increasing public safety,</w:t>
            </w:r>
            <w:r>
              <w:t xml:space="preserve"> </w:t>
            </w:r>
            <w:r>
              <w:t>decreasing costs of caring for pretrial deten</w:t>
            </w:r>
            <w:r>
              <w:t xml:space="preserve">tion populations, and minimizing the adverse impacts of extended pretrial detention for those who are a low risk to society. </w:t>
            </w:r>
            <w:r>
              <w:t>C.S.</w:t>
            </w:r>
            <w:r>
              <w:t>H.</w:t>
            </w:r>
            <w:r>
              <w:t>B</w:t>
            </w:r>
            <w:r>
              <w:t>.</w:t>
            </w:r>
            <w:r>
              <w:t xml:space="preserve"> 1323 seeks to address these issue</w:t>
            </w:r>
            <w:r>
              <w:t>s</w:t>
            </w:r>
            <w:r>
              <w:t xml:space="preserve"> by implementing recommendations of the Texas Judicial Council regarding a person</w:t>
            </w:r>
            <w:r>
              <w:t>'s righ</w:t>
            </w:r>
            <w:r>
              <w:t>t</w:t>
            </w:r>
            <w:r>
              <w:t xml:space="preserve"> to bail.</w:t>
            </w:r>
          </w:p>
          <w:p w:rsidR="008423E4" w:rsidRPr="00E26B13" w:rsidRDefault="00B17B23" w:rsidP="002F320E">
            <w:pPr>
              <w:rPr>
                <w:b/>
              </w:rPr>
            </w:pPr>
          </w:p>
        </w:tc>
      </w:tr>
      <w:tr w:rsidR="00750278" w:rsidTr="00345119">
        <w:tc>
          <w:tcPr>
            <w:tcW w:w="9576" w:type="dxa"/>
          </w:tcPr>
          <w:p w:rsidR="0017725B" w:rsidRDefault="00B17B23" w:rsidP="002F320E">
            <w:pPr>
              <w:rPr>
                <w:b/>
                <w:u w:val="single"/>
              </w:rPr>
            </w:pPr>
            <w:r>
              <w:rPr>
                <w:b/>
                <w:u w:val="single"/>
              </w:rPr>
              <w:t>CRIMINAL JUSTICE IMPACT</w:t>
            </w:r>
          </w:p>
          <w:p w:rsidR="0017725B" w:rsidRDefault="00B17B23" w:rsidP="002F320E">
            <w:pPr>
              <w:rPr>
                <w:b/>
                <w:u w:val="single"/>
              </w:rPr>
            </w:pPr>
          </w:p>
          <w:p w:rsidR="00054EB8" w:rsidRPr="00054EB8" w:rsidRDefault="00B17B23" w:rsidP="002F320E">
            <w:pPr>
              <w:jc w:val="both"/>
            </w:pPr>
            <w:r>
              <w:t>It is the committee's opinion that this bill does not expressly create a criminal offense, increase the punishment for an existing criminal offense or category of offenses, or change the eligibility of a person for com</w:t>
            </w:r>
            <w:r>
              <w:t>munity supervision, parole, or mandatory supervision.</w:t>
            </w:r>
          </w:p>
          <w:p w:rsidR="0017725B" w:rsidRPr="0017725B" w:rsidRDefault="00B17B23" w:rsidP="002F320E">
            <w:pPr>
              <w:rPr>
                <w:b/>
                <w:u w:val="single"/>
              </w:rPr>
            </w:pPr>
          </w:p>
        </w:tc>
      </w:tr>
      <w:tr w:rsidR="00750278" w:rsidTr="00345119">
        <w:tc>
          <w:tcPr>
            <w:tcW w:w="9576" w:type="dxa"/>
          </w:tcPr>
          <w:p w:rsidR="008423E4" w:rsidRPr="00A8133F" w:rsidRDefault="00B17B23" w:rsidP="002F320E">
            <w:pPr>
              <w:rPr>
                <w:b/>
              </w:rPr>
            </w:pPr>
            <w:r w:rsidRPr="009C1E9A">
              <w:rPr>
                <w:b/>
                <w:u w:val="single"/>
              </w:rPr>
              <w:t>RULEMAKING AUTHORITY</w:t>
            </w:r>
            <w:r>
              <w:rPr>
                <w:b/>
              </w:rPr>
              <w:t xml:space="preserve"> </w:t>
            </w:r>
          </w:p>
          <w:p w:rsidR="008423E4" w:rsidRDefault="00B17B23" w:rsidP="002F320E"/>
          <w:p w:rsidR="00054EB8" w:rsidRDefault="00B17B23" w:rsidP="002F320E">
            <w:pPr>
              <w:pStyle w:val="Header"/>
              <w:tabs>
                <w:tab w:val="clear" w:pos="4320"/>
                <w:tab w:val="clear" w:pos="8640"/>
              </w:tabs>
              <w:jc w:val="both"/>
            </w:pPr>
            <w:r>
              <w:t xml:space="preserve">It is the committee's opinion that rulemaking authority is expressly granted to the </w:t>
            </w:r>
            <w:r>
              <w:t xml:space="preserve">court of criminal appeals in SECTION </w:t>
            </w:r>
            <w:r>
              <w:t xml:space="preserve">2 </w:t>
            </w:r>
            <w:r>
              <w:t>of this bill.</w:t>
            </w:r>
          </w:p>
          <w:p w:rsidR="008423E4" w:rsidRPr="00E21FDC" w:rsidRDefault="00B17B23" w:rsidP="002F320E">
            <w:pPr>
              <w:rPr>
                <w:b/>
              </w:rPr>
            </w:pPr>
          </w:p>
        </w:tc>
      </w:tr>
      <w:tr w:rsidR="00750278" w:rsidTr="00345119">
        <w:tc>
          <w:tcPr>
            <w:tcW w:w="9576" w:type="dxa"/>
          </w:tcPr>
          <w:p w:rsidR="008423E4" w:rsidRPr="00A8133F" w:rsidRDefault="00B17B23" w:rsidP="002F320E">
            <w:pPr>
              <w:rPr>
                <w:b/>
              </w:rPr>
            </w:pPr>
            <w:r w:rsidRPr="009C1E9A">
              <w:rPr>
                <w:b/>
                <w:u w:val="single"/>
              </w:rPr>
              <w:t>ANALYSIS</w:t>
            </w:r>
            <w:r>
              <w:rPr>
                <w:b/>
              </w:rPr>
              <w:t xml:space="preserve"> </w:t>
            </w:r>
          </w:p>
          <w:p w:rsidR="008423E4" w:rsidRDefault="00B17B23" w:rsidP="002F320E"/>
          <w:p w:rsidR="00773308" w:rsidRDefault="00B17B23" w:rsidP="002F320E">
            <w:pPr>
              <w:pStyle w:val="Header"/>
              <w:jc w:val="both"/>
            </w:pPr>
            <w:r>
              <w:t>C.S.H.B.</w:t>
            </w:r>
            <w:r>
              <w:t xml:space="preserve"> 1323 amends the Code of Criminal Procedure to</w:t>
            </w:r>
            <w:r>
              <w:t xml:space="preserve"> </w:t>
            </w:r>
            <w:r>
              <w:t>authorize a judge or magistrate to deny bail pending trial</w:t>
            </w:r>
            <w:r>
              <w:t xml:space="preserve"> to </w:t>
            </w:r>
            <w:r w:rsidRPr="00925798">
              <w:t xml:space="preserve">a person charged with an offense </w:t>
            </w:r>
            <w:r>
              <w:t xml:space="preserve">ineligible for </w:t>
            </w:r>
            <w:r w:rsidRPr="00925798">
              <w:t>judge-ordered community supervision</w:t>
            </w:r>
            <w:r>
              <w:t xml:space="preserve"> if the judge or magistrate determines by clear and convincing e</w:t>
            </w:r>
            <w:r>
              <w:t xml:space="preserve">vidence that requiring bail and conditions of release is insufficient to reasonably ensure the person's </w:t>
            </w:r>
            <w:r>
              <w:t xml:space="preserve">required court </w:t>
            </w:r>
            <w:r>
              <w:t>appearance or the safety of the community o</w:t>
            </w:r>
            <w:r>
              <w:t>r</w:t>
            </w:r>
            <w:r>
              <w:t xml:space="preserve"> the victim of the alleged offense. </w:t>
            </w:r>
            <w:r>
              <w:t>This authorization</w:t>
            </w:r>
            <w:r>
              <w:t xml:space="preserve"> </w:t>
            </w:r>
            <w:r>
              <w:t>take</w:t>
            </w:r>
            <w:r>
              <w:t>s</w:t>
            </w:r>
            <w:r>
              <w:t xml:space="preserve"> effect </w:t>
            </w:r>
            <w:r w:rsidRPr="0001559D">
              <w:t>December 1, 2019,</w:t>
            </w:r>
            <w:r>
              <w:t xml:space="preserve"> but</w:t>
            </w:r>
            <w:r w:rsidRPr="0001559D">
              <w:t xml:space="preserve"> </w:t>
            </w:r>
            <w:r>
              <w:t>onl</w:t>
            </w:r>
            <w:r>
              <w:t xml:space="preserve">y </w:t>
            </w:r>
            <w:r w:rsidRPr="0001559D">
              <w:t xml:space="preserve">if the constitutional amendment </w:t>
            </w:r>
            <w:r>
              <w:t>authorizing</w:t>
            </w:r>
            <w:r w:rsidRPr="0001559D">
              <w:t xml:space="preserve"> the denial of bail to an accused person if necessary to ensure the person's </w:t>
            </w:r>
            <w:r>
              <w:t xml:space="preserve">court </w:t>
            </w:r>
            <w:r w:rsidRPr="0001559D">
              <w:t>appearance and the safety of the community and the victim of the alleged offense is approved by the voters.</w:t>
            </w:r>
          </w:p>
          <w:p w:rsidR="00660EF8" w:rsidRDefault="00B17B23" w:rsidP="002F320E">
            <w:pPr>
              <w:pStyle w:val="Header"/>
              <w:jc w:val="both"/>
            </w:pPr>
          </w:p>
          <w:p w:rsidR="00660EF8" w:rsidRDefault="00B17B23" w:rsidP="002F320E">
            <w:pPr>
              <w:pStyle w:val="Header"/>
              <w:jc w:val="both"/>
            </w:pPr>
            <w:r>
              <w:t>C.S.H.B. 1323</w:t>
            </w:r>
            <w:r>
              <w:t xml:space="preserve"> requi</w:t>
            </w:r>
            <w:r>
              <w:t xml:space="preserve">res a magistrate who denies </w:t>
            </w:r>
            <w:r>
              <w:t xml:space="preserve">such </w:t>
            </w:r>
            <w:r>
              <w:t xml:space="preserve">a </w:t>
            </w:r>
            <w:r w:rsidRPr="00D1258A">
              <w:t>defendant's bail</w:t>
            </w:r>
            <w:r>
              <w:t xml:space="preserve"> </w:t>
            </w:r>
            <w:r>
              <w:t>to</w:t>
            </w:r>
            <w:r w:rsidRPr="00D1258A">
              <w:t xml:space="preserve"> inform the defendant </w:t>
            </w:r>
            <w:r>
              <w:t>of</w:t>
            </w:r>
            <w:r w:rsidRPr="00D1258A">
              <w:t xml:space="preserve"> </w:t>
            </w:r>
            <w:r w:rsidRPr="00D1258A">
              <w:t>the defendant</w:t>
            </w:r>
            <w:r>
              <w:t>'</w:t>
            </w:r>
            <w:r>
              <w:t>s</w:t>
            </w:r>
            <w:r w:rsidRPr="00D1258A">
              <w:t xml:space="preserve"> entitle</w:t>
            </w:r>
            <w:r>
              <w:t>ment</w:t>
            </w:r>
            <w:r>
              <w:t xml:space="preserve"> to a bail review hearing</w:t>
            </w:r>
            <w:r w:rsidRPr="00D1258A">
              <w:t xml:space="preserve"> </w:t>
            </w:r>
            <w:r>
              <w:t xml:space="preserve">under the bill's provisions </w:t>
            </w:r>
            <w:r w:rsidRPr="00D1258A">
              <w:t xml:space="preserve">and, as soon as practicable but not later than 24 hours after denying bail, </w:t>
            </w:r>
            <w:r>
              <w:t xml:space="preserve">to </w:t>
            </w:r>
            <w:r w:rsidRPr="00D1258A">
              <w:t xml:space="preserve">issue a written </w:t>
            </w:r>
            <w:r w:rsidRPr="00D1258A">
              <w:t>order of denial that includes findings of fact and a statement of the magistrate's reasons for the denial.</w:t>
            </w:r>
            <w:r>
              <w:t xml:space="preserve"> </w:t>
            </w:r>
            <w:r>
              <w:t>The bill prohibits a judge from adopting a bail schedule or entering a standing order related to bail that is inconsistent with</w:t>
            </w:r>
            <w:r>
              <w:t xml:space="preserve"> state law.</w:t>
            </w:r>
            <w:r>
              <w:t xml:space="preserve"> </w:t>
            </w:r>
          </w:p>
          <w:p w:rsidR="00BB2CCE" w:rsidRDefault="00B17B23" w:rsidP="002F320E">
            <w:pPr>
              <w:pStyle w:val="Header"/>
              <w:jc w:val="both"/>
            </w:pPr>
          </w:p>
          <w:p w:rsidR="000F2202" w:rsidRDefault="00B17B23" w:rsidP="002F320E">
            <w:pPr>
              <w:pStyle w:val="Header"/>
              <w:jc w:val="both"/>
            </w:pPr>
            <w:r>
              <w:t>C.S.H.B.</w:t>
            </w:r>
            <w:r>
              <w:t xml:space="preserve"> 1323</w:t>
            </w:r>
            <w:r>
              <w:t xml:space="preserve"> </w:t>
            </w:r>
            <w:r>
              <w:t xml:space="preserve">requires the court in which </w:t>
            </w:r>
            <w:r>
              <w:t xml:space="preserve">a </w:t>
            </w:r>
            <w:r>
              <w:t>defendant's case</w:t>
            </w:r>
            <w:r>
              <w:t xml:space="preserve"> is pending</w:t>
            </w:r>
            <w:r>
              <w:t>, as soon as practicable after a defendant's bail is denied under the bill's provisions but not later than the 10th day after the date the magistrate issues the written order denying bail, to c</w:t>
            </w:r>
            <w:r>
              <w:t>onduct a hearing regarding whether to detain the defendant pending the trial of the offense.</w:t>
            </w:r>
            <w:r>
              <w:t xml:space="preserve"> The bill</w:t>
            </w:r>
            <w:r>
              <w:t xml:space="preserve"> provides for the </w:t>
            </w:r>
            <w:r>
              <w:t xml:space="preserve">waiver </w:t>
            </w:r>
            <w:r>
              <w:t>by the defendant of the defendant's right to a bail review hearing</w:t>
            </w:r>
            <w:r>
              <w:t xml:space="preserve"> and</w:t>
            </w:r>
            <w:r>
              <w:t xml:space="preserve"> the </w:t>
            </w:r>
            <w:r>
              <w:t>withdrawal</w:t>
            </w:r>
            <w:r>
              <w:t xml:space="preserve"> of such a waiver by the defendant</w:t>
            </w:r>
            <w:r>
              <w:t xml:space="preserve">. The bill </w:t>
            </w:r>
            <w:r>
              <w:t>entitles</w:t>
            </w:r>
            <w:r>
              <w:t xml:space="preserve"> a </w:t>
            </w:r>
            <w:r>
              <w:t>defendant</w:t>
            </w:r>
            <w:r>
              <w:t xml:space="preserve"> </w:t>
            </w:r>
            <w:r>
              <w:t xml:space="preserve">to </w:t>
            </w:r>
            <w:r>
              <w:t xml:space="preserve">representation by </w:t>
            </w:r>
            <w:r>
              <w:t>counsel</w:t>
            </w:r>
            <w:r>
              <w:t xml:space="preserve"> at a bail review hearing and </w:t>
            </w:r>
            <w:r>
              <w:t xml:space="preserve">entitles </w:t>
            </w:r>
            <w:r>
              <w:t>an indigent defendant to have counsel appointed for that purpose.</w:t>
            </w:r>
            <w:r>
              <w:t xml:space="preserve"> </w:t>
            </w:r>
            <w:r>
              <w:t>The bill authorizes a</w:t>
            </w:r>
            <w:r>
              <w:t xml:space="preserve"> defendant </w:t>
            </w:r>
            <w:r>
              <w:t xml:space="preserve">to present any relevant information at the bail review </w:t>
            </w:r>
            <w:r>
              <w:t>hearing</w:t>
            </w:r>
            <w:r>
              <w:t>. The bi</w:t>
            </w:r>
            <w:r>
              <w:t>ll makes</w:t>
            </w:r>
            <w:r>
              <w:t xml:space="preserve"> the rules of evidence</w:t>
            </w:r>
            <w:r>
              <w:t xml:space="preserve"> applicable to criminal trials inapplicable to a bail review</w:t>
            </w:r>
            <w:r>
              <w:t xml:space="preserve"> hearing</w:t>
            </w:r>
            <w:r>
              <w:t xml:space="preserve"> and authorizes the defendant or the attorney representing the state to</w:t>
            </w:r>
            <w:r>
              <w:t xml:space="preserve"> request a proffer of a witness's testimony</w:t>
            </w:r>
            <w:r>
              <w:t xml:space="preserve"> </w:t>
            </w:r>
            <w:r>
              <w:t>before a witness is presented</w:t>
            </w:r>
            <w:r>
              <w:t>. The bill pro</w:t>
            </w:r>
            <w:r>
              <w:t>hibits a defendant from using a bail review hearing to seek discovery or conduct an examining trial or to harass a victim of or witness to the alleged offense.</w:t>
            </w:r>
            <w:r>
              <w:t xml:space="preserve"> </w:t>
            </w:r>
            <w:r>
              <w:t>The bill provides for</w:t>
            </w:r>
            <w:r>
              <w:t xml:space="preserve"> the reopening of </w:t>
            </w:r>
            <w:r>
              <w:t xml:space="preserve">a bail review </w:t>
            </w:r>
            <w:r>
              <w:t>hearing by the court</w:t>
            </w:r>
            <w:r>
              <w:t xml:space="preserve"> at any time during the</w:t>
            </w:r>
            <w:r>
              <w:t xml:space="preserve"> period occurring after </w:t>
            </w:r>
            <w:r>
              <w:t xml:space="preserve">the bail </w:t>
            </w:r>
            <w:r>
              <w:t xml:space="preserve">review </w:t>
            </w:r>
            <w:r>
              <w:t>hearing concludes and before the trial of the offense commences</w:t>
            </w:r>
            <w:r>
              <w:t>.</w:t>
            </w:r>
          </w:p>
          <w:p w:rsidR="00C207B9" w:rsidRDefault="00B17B23" w:rsidP="002F320E">
            <w:pPr>
              <w:pStyle w:val="Header"/>
              <w:jc w:val="both"/>
            </w:pPr>
          </w:p>
          <w:p w:rsidR="002A1B87" w:rsidRDefault="00B17B23" w:rsidP="002F320E">
            <w:pPr>
              <w:pStyle w:val="Header"/>
              <w:jc w:val="both"/>
            </w:pPr>
            <w:r>
              <w:t>C.S.H.B.</w:t>
            </w:r>
            <w:r>
              <w:t xml:space="preserve"> 1323</w:t>
            </w:r>
            <w:r>
              <w:t xml:space="preserve"> sets out </w:t>
            </w:r>
            <w:r>
              <w:t xml:space="preserve">the required considerations of a </w:t>
            </w:r>
            <w:r>
              <w:t>court in a bail review hearing</w:t>
            </w:r>
            <w:r>
              <w:t xml:space="preserve"> and</w:t>
            </w:r>
            <w:r>
              <w:t xml:space="preserve"> requires a judge</w:t>
            </w:r>
            <w:r>
              <w:t>, after the hearing,</w:t>
            </w:r>
            <w:r>
              <w:t xml:space="preserve"> to </w:t>
            </w:r>
            <w:r>
              <w:t>authorize the</w:t>
            </w:r>
            <w:r>
              <w:t xml:space="preserve"> defendant</w:t>
            </w:r>
            <w:r>
              <w:t>'s</w:t>
            </w:r>
            <w:r>
              <w:t xml:space="preserve"> release </w:t>
            </w:r>
            <w:r>
              <w:t xml:space="preserve">on bail </w:t>
            </w:r>
            <w:r>
              <w:t xml:space="preserve">unless the judge finds by clear and convincing evidence that requiring bail and conditions of release is insufficient to reasonably ensure the defendant's </w:t>
            </w:r>
            <w:r>
              <w:t xml:space="preserve">required court </w:t>
            </w:r>
            <w:r>
              <w:t>appearance or the safety of the community or the victim o</w:t>
            </w:r>
            <w:r>
              <w:t>f the alleged offense. The bill requires a judge, if the judge makes such a finding, to deny the defendant's bail and</w:t>
            </w:r>
            <w:r>
              <w:t xml:space="preserve"> to</w:t>
            </w:r>
            <w:r>
              <w:t xml:space="preserve"> issue a written order of denial that includes findings of fact and a statement of the judge's reasons for the denial. </w:t>
            </w:r>
          </w:p>
          <w:p w:rsidR="002A1B87" w:rsidRDefault="00B17B23" w:rsidP="002F320E">
            <w:pPr>
              <w:pStyle w:val="Header"/>
              <w:jc w:val="both"/>
            </w:pPr>
          </w:p>
          <w:p w:rsidR="00C207B9" w:rsidRDefault="00B17B23" w:rsidP="002F320E">
            <w:pPr>
              <w:pStyle w:val="Header"/>
              <w:jc w:val="both"/>
            </w:pPr>
            <w:r>
              <w:t>C.S.H.B. 1323 p</w:t>
            </w:r>
            <w:r>
              <w:t xml:space="preserve">rohibits the court, except for good cause shown, from authorizing a continuance for more than five days, excluding weekends and legal holidays. The bill entitles </w:t>
            </w:r>
            <w:r>
              <w:t>the</w:t>
            </w:r>
            <w:r>
              <w:t xml:space="preserve"> defendant to appeal a denial of bail</w:t>
            </w:r>
            <w:r>
              <w:t xml:space="preserve"> and requires the defendant to be detained in jail pen</w:t>
            </w:r>
            <w:r>
              <w:t xml:space="preserve">ding the appeal. The bill requires the court of criminal appeals to adopt rules accelerating the disposition by the appellate court and the court of criminal appeals of such an appeal. </w:t>
            </w:r>
            <w:r>
              <w:t>The bill's provisions relating to bail review hearings</w:t>
            </w:r>
            <w:r w:rsidRPr="00EE596A">
              <w:t xml:space="preserve"> take effect Dece</w:t>
            </w:r>
            <w:r w:rsidRPr="00EE596A">
              <w:t>mber 1, 2019, but only if the constitutional amendment authorizing the denial of bail to an accused person if necessary to ensure the person's court appearance and the safety of the community and the victim of the alleged offense is approved by the voters.</w:t>
            </w:r>
          </w:p>
          <w:p w:rsidR="000F6206" w:rsidRDefault="00B17B23" w:rsidP="002F320E">
            <w:pPr>
              <w:pStyle w:val="Header"/>
              <w:jc w:val="both"/>
            </w:pPr>
          </w:p>
          <w:p w:rsidR="009356BC" w:rsidRDefault="00B17B23" w:rsidP="002F320E">
            <w:pPr>
              <w:pStyle w:val="Header"/>
              <w:jc w:val="both"/>
            </w:pPr>
            <w:r>
              <w:t xml:space="preserve">C.S.H.B. 1323 requires a magistrate authorizing a defendant's release on bail to provide, if applicable, written notice to the defendant of </w:t>
            </w:r>
            <w:r>
              <w:t xml:space="preserve">the </w:t>
            </w:r>
            <w:r>
              <w:t xml:space="preserve">conditions </w:t>
            </w:r>
            <w:r>
              <w:t>of the defendant</w:t>
            </w:r>
            <w:r>
              <w:t>'</w:t>
            </w:r>
            <w:r>
              <w:t xml:space="preserve">s release </w:t>
            </w:r>
            <w:r>
              <w:t>and the penalties of violating a condition of release, including the def</w:t>
            </w:r>
            <w:r>
              <w:t>endant's arrest</w:t>
            </w:r>
            <w:r>
              <w:t>,</w:t>
            </w:r>
            <w:r>
              <w:t xml:space="preserve"> and requires the notice </w:t>
            </w:r>
            <w:r>
              <w:t xml:space="preserve">to </w:t>
            </w:r>
            <w:r>
              <w:t>be provided in a manner that is sufficiently clear and specific to serve as a guide for the defendant's conduct while released.</w:t>
            </w:r>
          </w:p>
          <w:p w:rsidR="006E08BB" w:rsidRDefault="00B17B23" w:rsidP="002F320E">
            <w:pPr>
              <w:pStyle w:val="Header"/>
              <w:jc w:val="both"/>
            </w:pPr>
          </w:p>
          <w:p w:rsidR="00EE596A" w:rsidRDefault="00B17B23" w:rsidP="002F320E">
            <w:pPr>
              <w:pStyle w:val="Header"/>
              <w:jc w:val="both"/>
            </w:pPr>
            <w:r>
              <w:t>C.S.H.B.</w:t>
            </w:r>
            <w:r>
              <w:t xml:space="preserve"> 1323 applies only to a person who is arrested on or after September 1, 202</w:t>
            </w:r>
            <w:r>
              <w:t>0. A person arrested before that date is governed by the law in effect immediately before the bill's effective date</w:t>
            </w:r>
            <w:r>
              <w:t>,</w:t>
            </w:r>
            <w:r>
              <w:t xml:space="preserve"> and the former law is continued in effect for that purpose.</w:t>
            </w:r>
          </w:p>
          <w:p w:rsidR="008423E4" w:rsidRPr="00835628" w:rsidRDefault="00B17B23" w:rsidP="002F320E">
            <w:pPr>
              <w:pStyle w:val="Header"/>
              <w:jc w:val="both"/>
              <w:rPr>
                <w:b/>
              </w:rPr>
            </w:pPr>
            <w:r>
              <w:t xml:space="preserve">  </w:t>
            </w:r>
          </w:p>
        </w:tc>
      </w:tr>
      <w:tr w:rsidR="00750278" w:rsidTr="00345119">
        <w:tc>
          <w:tcPr>
            <w:tcW w:w="9576" w:type="dxa"/>
          </w:tcPr>
          <w:p w:rsidR="008423E4" w:rsidRPr="00A8133F" w:rsidRDefault="00B17B23" w:rsidP="002F320E">
            <w:pPr>
              <w:rPr>
                <w:b/>
              </w:rPr>
            </w:pPr>
            <w:r w:rsidRPr="009C1E9A">
              <w:rPr>
                <w:b/>
                <w:u w:val="single"/>
              </w:rPr>
              <w:t>EFFECTIVE DATE</w:t>
            </w:r>
            <w:r>
              <w:rPr>
                <w:b/>
              </w:rPr>
              <w:t xml:space="preserve"> </w:t>
            </w:r>
          </w:p>
          <w:p w:rsidR="008423E4" w:rsidRDefault="00B17B23" w:rsidP="002F320E"/>
          <w:p w:rsidR="008423E4" w:rsidRPr="0001559D" w:rsidRDefault="00B17B23" w:rsidP="002F320E">
            <w:pPr>
              <w:pStyle w:val="Header"/>
              <w:tabs>
                <w:tab w:val="clear" w:pos="4320"/>
                <w:tab w:val="clear" w:pos="8640"/>
              </w:tabs>
              <w:jc w:val="both"/>
            </w:pPr>
            <w:r>
              <w:t xml:space="preserve">Except as otherwise provided, </w:t>
            </w:r>
            <w:r>
              <w:t>September 1, 2019.</w:t>
            </w:r>
            <w:r>
              <w:t xml:space="preserve"> </w:t>
            </w:r>
          </w:p>
          <w:p w:rsidR="008423E4" w:rsidRPr="00233FDB" w:rsidRDefault="00B17B23" w:rsidP="002F320E">
            <w:pPr>
              <w:rPr>
                <w:b/>
              </w:rPr>
            </w:pPr>
          </w:p>
        </w:tc>
      </w:tr>
      <w:tr w:rsidR="00750278" w:rsidTr="00345119">
        <w:tc>
          <w:tcPr>
            <w:tcW w:w="9576" w:type="dxa"/>
          </w:tcPr>
          <w:p w:rsidR="00823216" w:rsidRDefault="00B17B23" w:rsidP="002F320E">
            <w:pPr>
              <w:jc w:val="both"/>
              <w:rPr>
                <w:b/>
                <w:u w:val="single"/>
              </w:rPr>
            </w:pPr>
            <w:r>
              <w:rPr>
                <w:b/>
                <w:u w:val="single"/>
              </w:rPr>
              <w:t>COMPARISON OF ORIGINAL AND SUBSTITUTE</w:t>
            </w:r>
          </w:p>
          <w:p w:rsidR="006C4CAE" w:rsidRDefault="00B17B23" w:rsidP="002F320E">
            <w:pPr>
              <w:jc w:val="both"/>
            </w:pPr>
          </w:p>
          <w:p w:rsidR="006C4CAE" w:rsidRDefault="00B17B23" w:rsidP="002F320E">
            <w:pPr>
              <w:jc w:val="both"/>
            </w:pPr>
            <w:r>
              <w:t>While C.S.H.B. 1323 may differ from the original in minor or nonsubstantive ways, the following summarizes the substantial differences between the introduced and committee substitute versions of the bill.</w:t>
            </w:r>
          </w:p>
          <w:p w:rsidR="006C4CAE" w:rsidRDefault="00B17B23" w:rsidP="002F320E">
            <w:pPr>
              <w:jc w:val="both"/>
            </w:pPr>
          </w:p>
          <w:p w:rsidR="00D30508" w:rsidRDefault="00B17B23" w:rsidP="002F320E">
            <w:pPr>
              <w:jc w:val="both"/>
            </w:pPr>
            <w:r>
              <w:t>The substit</w:t>
            </w:r>
            <w:r>
              <w:t>ute does not include:</w:t>
            </w:r>
          </w:p>
          <w:p w:rsidR="00D30508" w:rsidRDefault="00B17B23" w:rsidP="002F320E">
            <w:pPr>
              <w:pStyle w:val="ListParagraph"/>
              <w:numPr>
                <w:ilvl w:val="0"/>
                <w:numId w:val="2"/>
              </w:numPr>
              <w:spacing w:before="120" w:after="120"/>
              <w:jc w:val="both"/>
            </w:pPr>
            <w:r>
              <w:t>provisions</w:t>
            </w:r>
            <w:r>
              <w:t xml:space="preserve"> relating to </w:t>
            </w:r>
            <w:r>
              <w:t xml:space="preserve">the </w:t>
            </w:r>
            <w:r>
              <w:t>adopt</w:t>
            </w:r>
            <w:r>
              <w:t>ion of</w:t>
            </w:r>
            <w:r>
              <w:t xml:space="preserve"> an instrument to be used in conducting a pretrial risk assessment of a defendant charged with an offense;</w:t>
            </w:r>
          </w:p>
          <w:p w:rsidR="00FF44B3" w:rsidRDefault="00B17B23" w:rsidP="002F320E">
            <w:pPr>
              <w:pStyle w:val="ListParagraph"/>
              <w:numPr>
                <w:ilvl w:val="0"/>
                <w:numId w:val="2"/>
              </w:numPr>
              <w:spacing w:before="120" w:after="120"/>
              <w:jc w:val="both"/>
            </w:pPr>
            <w:r>
              <w:t>a requirement for a magistrate to make a bail decision after considering all circumstance</w:t>
            </w:r>
            <w:r>
              <w:t>s and the results of the pretrial risk assessment;</w:t>
            </w:r>
          </w:p>
          <w:p w:rsidR="00D30508" w:rsidRDefault="00B17B23" w:rsidP="002F320E">
            <w:pPr>
              <w:pStyle w:val="ListParagraph"/>
              <w:numPr>
                <w:ilvl w:val="0"/>
                <w:numId w:val="2"/>
              </w:numPr>
              <w:spacing w:before="120" w:after="120"/>
              <w:jc w:val="both"/>
            </w:pPr>
            <w:r>
              <w:t>a</w:t>
            </w:r>
            <w:r>
              <w:t xml:space="preserve"> prohibition </w:t>
            </w:r>
            <w:r>
              <w:t xml:space="preserve">against </w:t>
            </w:r>
            <w:r>
              <w:t>a magistrate</w:t>
            </w:r>
            <w:r>
              <w:t xml:space="preserve"> </w:t>
            </w:r>
            <w:r>
              <w:t>requiring a defendant to provide a monetary bail bond for the sole purpose of preventing the defendant's release on bail;</w:t>
            </w:r>
          </w:p>
          <w:p w:rsidR="00FE7AAF" w:rsidRDefault="00B17B23" w:rsidP="002F320E">
            <w:pPr>
              <w:pStyle w:val="ListParagraph"/>
              <w:numPr>
                <w:ilvl w:val="0"/>
                <w:numId w:val="2"/>
              </w:numPr>
              <w:spacing w:before="120" w:after="120"/>
              <w:jc w:val="both"/>
            </w:pPr>
            <w:r>
              <w:t>a requir</w:t>
            </w:r>
            <w:r>
              <w:t>ement for</w:t>
            </w:r>
            <w:r>
              <w:t xml:space="preserve"> a magistrate, if the magistrat</w:t>
            </w:r>
            <w:r>
              <w:t>e determines that a defendant is not indigent and is able to pay any costs related to a condition of the defendant's bail, to asse</w:t>
            </w:r>
            <w:r>
              <w:t>s</w:t>
            </w:r>
            <w:r>
              <w:t xml:space="preserve">s the costs as court costs or order the costs </w:t>
            </w:r>
            <w:r>
              <w:t xml:space="preserve">to </w:t>
            </w:r>
            <w:r>
              <w:t>be paid directly by the defe</w:t>
            </w:r>
            <w:r>
              <w:t>ndant as a condition of release</w:t>
            </w:r>
            <w:r>
              <w:t>;</w:t>
            </w:r>
          </w:p>
          <w:p w:rsidR="00F321E0" w:rsidRDefault="00B17B23" w:rsidP="002F320E">
            <w:pPr>
              <w:pStyle w:val="ListParagraph"/>
              <w:numPr>
                <w:ilvl w:val="0"/>
                <w:numId w:val="2"/>
              </w:numPr>
              <w:spacing w:before="120" w:after="120"/>
              <w:jc w:val="both"/>
            </w:pPr>
            <w:r>
              <w:t xml:space="preserve">a prohibition </w:t>
            </w:r>
            <w:r>
              <w:t>a</w:t>
            </w:r>
            <w:r>
              <w:t xml:space="preserve">gainst </w:t>
            </w:r>
            <w:r w:rsidRPr="00C41726">
              <w:t>a judge or magistrate in whose court criminal action is pending</w:t>
            </w:r>
            <w:r>
              <w:t xml:space="preserve"> </w:t>
            </w:r>
            <w:r w:rsidRPr="00C41726">
              <w:t>ordering the accused to be rearrested or requiring the accused to give another bond in a higher amount because the accused is formally charged with the same offense for which the accuse</w:t>
            </w:r>
            <w:r w:rsidRPr="00C41726">
              <w:t>d was initia</w:t>
            </w:r>
            <w:r>
              <w:t xml:space="preserve">lly arrested and bond was given; </w:t>
            </w:r>
          </w:p>
          <w:p w:rsidR="00C41726" w:rsidRDefault="00B17B23" w:rsidP="002F320E">
            <w:pPr>
              <w:pStyle w:val="ListParagraph"/>
              <w:numPr>
                <w:ilvl w:val="0"/>
                <w:numId w:val="2"/>
              </w:numPr>
              <w:spacing w:before="120" w:after="120"/>
              <w:jc w:val="both"/>
            </w:pPr>
            <w:r>
              <w:t>an authorization for</w:t>
            </w:r>
            <w:r w:rsidRPr="00F321E0">
              <w:t xml:space="preserve"> a court to waive a personal bond fee or assess a lesser fee if the court determines that the defendant is indigent or demonstrates an inability to pay the fee</w:t>
            </w:r>
            <w:r>
              <w:t xml:space="preserve">; </w:t>
            </w:r>
          </w:p>
          <w:p w:rsidR="00D30508" w:rsidRDefault="00B17B23" w:rsidP="002F320E">
            <w:pPr>
              <w:pStyle w:val="ListParagraph"/>
              <w:numPr>
                <w:ilvl w:val="0"/>
                <w:numId w:val="2"/>
              </w:numPr>
              <w:spacing w:before="120" w:after="120"/>
              <w:jc w:val="both"/>
            </w:pPr>
            <w:r>
              <w:t xml:space="preserve">an </w:t>
            </w:r>
            <w:r w:rsidRPr="00D30508">
              <w:t>e</w:t>
            </w:r>
            <w:r>
              <w:t xml:space="preserve">xpansion of </w:t>
            </w:r>
            <w:r w:rsidRPr="00D30508">
              <w:t>the conditions under which a justice of the peace may be remo</w:t>
            </w:r>
            <w:r>
              <w:t>ved from office for incompetence;</w:t>
            </w:r>
          </w:p>
          <w:p w:rsidR="001D0D99" w:rsidRDefault="00B17B23" w:rsidP="002F320E">
            <w:pPr>
              <w:pStyle w:val="ListParagraph"/>
              <w:numPr>
                <w:ilvl w:val="0"/>
                <w:numId w:val="2"/>
              </w:numPr>
              <w:spacing w:before="120" w:after="120"/>
              <w:jc w:val="both"/>
            </w:pPr>
            <w:r>
              <w:t xml:space="preserve">a repeal of statutory </w:t>
            </w:r>
            <w:r>
              <w:t>provisions exempting a</w:t>
            </w:r>
            <w:r>
              <w:t xml:space="preserve"> </w:t>
            </w:r>
            <w:r>
              <w:t xml:space="preserve">personal bond pretrial release office </w:t>
            </w:r>
            <w:r>
              <w:t xml:space="preserve">that was operated by a community corrections and supervision department on January 1, 1995, </w:t>
            </w:r>
            <w:r w:rsidRPr="001D0D99">
              <w:t>from the applicability of statutory provisions requiring a personal bond pretrial release office to prepare, update, and file with certain district or county clerks</w:t>
            </w:r>
            <w:r w:rsidRPr="001D0D99">
              <w:t xml:space="preserve"> a record about any accused person who is released on personal bond before sentencing in a pending case</w:t>
            </w:r>
            <w:r>
              <w:t>;</w:t>
            </w:r>
            <w:r w:rsidRPr="001D0D99">
              <w:t xml:space="preserve"> and</w:t>
            </w:r>
          </w:p>
          <w:p w:rsidR="001D0D99" w:rsidRDefault="00B17B23" w:rsidP="002F320E">
            <w:pPr>
              <w:pStyle w:val="ListParagraph"/>
              <w:numPr>
                <w:ilvl w:val="0"/>
                <w:numId w:val="2"/>
              </w:numPr>
              <w:spacing w:before="120"/>
              <w:jc w:val="both"/>
            </w:pPr>
            <w:r>
              <w:t>a repeal of statutory provisions</w:t>
            </w:r>
            <w:r w:rsidRPr="001D0D99">
              <w:t xml:space="preserve"> </w:t>
            </w:r>
            <w:r>
              <w:t>exempting a personal bond pretrial release office that was operated by a community corrections and supervision dep</w:t>
            </w:r>
            <w:r>
              <w:t xml:space="preserve">artment on January 1, 1995, from the applicability of statutory provisions </w:t>
            </w:r>
            <w:r w:rsidRPr="001D0D99">
              <w:t xml:space="preserve">requiring </w:t>
            </w:r>
            <w:r>
              <w:t>a personal bond pretrial release office</w:t>
            </w:r>
            <w:r w:rsidRPr="001D0D99">
              <w:t xml:space="preserve"> to submit to the commissioners court or district and county judges that established the office an annual report containing certain </w:t>
            </w:r>
            <w:r w:rsidRPr="001D0D99">
              <w:t>information about the operations of the office during the preceding year.</w:t>
            </w:r>
          </w:p>
          <w:p w:rsidR="00FE7AAF" w:rsidRDefault="00B17B23" w:rsidP="002F320E">
            <w:pPr>
              <w:jc w:val="both"/>
            </w:pPr>
          </w:p>
          <w:p w:rsidR="00D30508" w:rsidRDefault="00B17B23" w:rsidP="002F320E">
            <w:pPr>
              <w:jc w:val="both"/>
            </w:pPr>
            <w:r>
              <w:t xml:space="preserve">The </w:t>
            </w:r>
            <w:r>
              <w:t xml:space="preserve">substitute </w:t>
            </w:r>
            <w:r>
              <w:t>revises</w:t>
            </w:r>
            <w:r>
              <w:t xml:space="preserve"> the bail schedules and standing orders that a judge is prohibited from adopting</w:t>
            </w:r>
            <w:r>
              <w:t xml:space="preserve"> or entering</w:t>
            </w:r>
            <w:r>
              <w:t>.</w:t>
            </w:r>
          </w:p>
          <w:p w:rsidR="00FE0C8D" w:rsidRDefault="00B17B23" w:rsidP="002F320E">
            <w:pPr>
              <w:jc w:val="both"/>
            </w:pPr>
            <w:r>
              <w:br/>
              <w:t xml:space="preserve">The substitute </w:t>
            </w:r>
            <w:r>
              <w:t>revises</w:t>
            </w:r>
            <w:r>
              <w:t xml:space="preserve"> the </w:t>
            </w:r>
            <w:r w:rsidRPr="00F321E0">
              <w:t>required considerations of a court in</w:t>
            </w:r>
            <w:r w:rsidRPr="00F321E0">
              <w:t xml:space="preserve"> a bail review</w:t>
            </w:r>
            <w:r>
              <w:t xml:space="preserve"> hearing</w:t>
            </w:r>
            <w:r>
              <w:t>.</w:t>
            </w:r>
            <w:r>
              <w:t xml:space="preserve"> </w:t>
            </w:r>
            <w:r>
              <w:t xml:space="preserve">The substitute changes the effective date of the bill's provisions relating to </w:t>
            </w:r>
            <w:r w:rsidRPr="006D34F3">
              <w:t>information given to a defendant after denial of bail, a r</w:t>
            </w:r>
            <w:r>
              <w:t>equired written order of denial</w:t>
            </w:r>
            <w:r w:rsidRPr="006D34F3">
              <w:t>, adoption of a bail schedule, and the required</w:t>
            </w:r>
            <w:r>
              <w:t xml:space="preserve"> </w:t>
            </w:r>
            <w:r>
              <w:t>b</w:t>
            </w:r>
            <w:r>
              <w:t>ai</w:t>
            </w:r>
            <w:r>
              <w:t>l review hear</w:t>
            </w:r>
            <w:r>
              <w:t>ings.</w:t>
            </w:r>
          </w:p>
          <w:p w:rsidR="006C4CAE" w:rsidRPr="006C4CAE" w:rsidRDefault="00B17B23" w:rsidP="002F320E">
            <w:pPr>
              <w:jc w:val="both"/>
            </w:pPr>
          </w:p>
        </w:tc>
      </w:tr>
    </w:tbl>
    <w:p w:rsidR="008423E4" w:rsidRPr="00BE0E75" w:rsidRDefault="00B17B23" w:rsidP="008423E4">
      <w:pPr>
        <w:spacing w:line="480" w:lineRule="auto"/>
        <w:jc w:val="both"/>
        <w:rPr>
          <w:rFonts w:ascii="Arial" w:hAnsi="Arial"/>
          <w:sz w:val="16"/>
          <w:szCs w:val="16"/>
        </w:rPr>
      </w:pPr>
    </w:p>
    <w:p w:rsidR="004108C3" w:rsidRPr="008423E4" w:rsidRDefault="00B17B2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7B23">
      <w:r>
        <w:separator/>
      </w:r>
    </w:p>
  </w:endnote>
  <w:endnote w:type="continuationSeparator" w:id="0">
    <w:p w:rsidR="00000000" w:rsidRDefault="00B1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99D" w:rsidRDefault="00B17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50278" w:rsidTr="009C1E9A">
      <w:trPr>
        <w:cantSplit/>
      </w:trPr>
      <w:tc>
        <w:tcPr>
          <w:tcW w:w="0" w:type="pct"/>
        </w:tcPr>
        <w:p w:rsidR="00137D90" w:rsidRDefault="00B17B23" w:rsidP="009C1E9A">
          <w:pPr>
            <w:pStyle w:val="Footer"/>
            <w:tabs>
              <w:tab w:val="clear" w:pos="8640"/>
              <w:tab w:val="right" w:pos="9360"/>
            </w:tabs>
          </w:pPr>
        </w:p>
      </w:tc>
      <w:tc>
        <w:tcPr>
          <w:tcW w:w="2395" w:type="pct"/>
        </w:tcPr>
        <w:p w:rsidR="00137D90" w:rsidRDefault="00B17B23" w:rsidP="009C1E9A">
          <w:pPr>
            <w:pStyle w:val="Footer"/>
            <w:tabs>
              <w:tab w:val="clear" w:pos="8640"/>
              <w:tab w:val="right" w:pos="9360"/>
            </w:tabs>
          </w:pPr>
        </w:p>
        <w:p w:rsidR="001A4310" w:rsidRDefault="00B17B23" w:rsidP="009C1E9A">
          <w:pPr>
            <w:pStyle w:val="Footer"/>
            <w:tabs>
              <w:tab w:val="clear" w:pos="8640"/>
              <w:tab w:val="right" w:pos="9360"/>
            </w:tabs>
          </w:pPr>
        </w:p>
        <w:p w:rsidR="00137D90" w:rsidRDefault="00B17B23" w:rsidP="009C1E9A">
          <w:pPr>
            <w:pStyle w:val="Footer"/>
            <w:tabs>
              <w:tab w:val="clear" w:pos="8640"/>
              <w:tab w:val="right" w:pos="9360"/>
            </w:tabs>
          </w:pPr>
        </w:p>
      </w:tc>
      <w:tc>
        <w:tcPr>
          <w:tcW w:w="2453" w:type="pct"/>
        </w:tcPr>
        <w:p w:rsidR="00137D90" w:rsidRDefault="00B17B23" w:rsidP="009C1E9A">
          <w:pPr>
            <w:pStyle w:val="Footer"/>
            <w:tabs>
              <w:tab w:val="clear" w:pos="8640"/>
              <w:tab w:val="right" w:pos="9360"/>
            </w:tabs>
            <w:jc w:val="right"/>
          </w:pPr>
        </w:p>
      </w:tc>
    </w:tr>
    <w:tr w:rsidR="00750278" w:rsidTr="009C1E9A">
      <w:trPr>
        <w:cantSplit/>
      </w:trPr>
      <w:tc>
        <w:tcPr>
          <w:tcW w:w="0" w:type="pct"/>
        </w:tcPr>
        <w:p w:rsidR="00EC379B" w:rsidRDefault="00B17B23" w:rsidP="009C1E9A">
          <w:pPr>
            <w:pStyle w:val="Footer"/>
            <w:tabs>
              <w:tab w:val="clear" w:pos="8640"/>
              <w:tab w:val="right" w:pos="9360"/>
            </w:tabs>
          </w:pPr>
        </w:p>
      </w:tc>
      <w:tc>
        <w:tcPr>
          <w:tcW w:w="2395" w:type="pct"/>
        </w:tcPr>
        <w:p w:rsidR="00EC379B" w:rsidRPr="009C1E9A" w:rsidRDefault="00B17B23" w:rsidP="009C1E9A">
          <w:pPr>
            <w:pStyle w:val="Footer"/>
            <w:tabs>
              <w:tab w:val="clear" w:pos="8640"/>
              <w:tab w:val="right" w:pos="9360"/>
            </w:tabs>
            <w:rPr>
              <w:rFonts w:ascii="Shruti" w:hAnsi="Shruti"/>
              <w:sz w:val="22"/>
            </w:rPr>
          </w:pPr>
          <w:r>
            <w:rPr>
              <w:rFonts w:ascii="Shruti" w:hAnsi="Shruti"/>
              <w:sz w:val="22"/>
            </w:rPr>
            <w:t>86R 29283</w:t>
          </w:r>
        </w:p>
      </w:tc>
      <w:tc>
        <w:tcPr>
          <w:tcW w:w="2453" w:type="pct"/>
        </w:tcPr>
        <w:p w:rsidR="00EC379B" w:rsidRDefault="00B17B23" w:rsidP="009C1E9A">
          <w:pPr>
            <w:pStyle w:val="Footer"/>
            <w:tabs>
              <w:tab w:val="clear" w:pos="8640"/>
              <w:tab w:val="right" w:pos="9360"/>
            </w:tabs>
            <w:jc w:val="right"/>
          </w:pPr>
          <w:r>
            <w:fldChar w:fldCharType="begin"/>
          </w:r>
          <w:r>
            <w:instrText xml:space="preserve"> DOCPROPERTY  OTID  \* MERGEFORMAT </w:instrText>
          </w:r>
          <w:r>
            <w:fldChar w:fldCharType="separate"/>
          </w:r>
          <w:r>
            <w:t>19.114.913</w:t>
          </w:r>
          <w:r>
            <w:fldChar w:fldCharType="end"/>
          </w:r>
        </w:p>
      </w:tc>
    </w:tr>
    <w:tr w:rsidR="00750278" w:rsidTr="009C1E9A">
      <w:trPr>
        <w:cantSplit/>
      </w:trPr>
      <w:tc>
        <w:tcPr>
          <w:tcW w:w="0" w:type="pct"/>
        </w:tcPr>
        <w:p w:rsidR="00EC379B" w:rsidRDefault="00B17B23" w:rsidP="009C1E9A">
          <w:pPr>
            <w:pStyle w:val="Footer"/>
            <w:tabs>
              <w:tab w:val="clear" w:pos="4320"/>
              <w:tab w:val="clear" w:pos="8640"/>
              <w:tab w:val="left" w:pos="2865"/>
            </w:tabs>
          </w:pPr>
        </w:p>
      </w:tc>
      <w:tc>
        <w:tcPr>
          <w:tcW w:w="2395" w:type="pct"/>
        </w:tcPr>
        <w:p w:rsidR="00EC379B" w:rsidRPr="009C1E9A" w:rsidRDefault="00B17B23" w:rsidP="009C1E9A">
          <w:pPr>
            <w:pStyle w:val="Footer"/>
            <w:tabs>
              <w:tab w:val="clear" w:pos="4320"/>
              <w:tab w:val="clear" w:pos="8640"/>
              <w:tab w:val="left" w:pos="2865"/>
            </w:tabs>
            <w:rPr>
              <w:rFonts w:ascii="Shruti" w:hAnsi="Shruti"/>
              <w:sz w:val="22"/>
            </w:rPr>
          </w:pPr>
          <w:r>
            <w:rPr>
              <w:rFonts w:ascii="Shruti" w:hAnsi="Shruti"/>
              <w:sz w:val="22"/>
            </w:rPr>
            <w:t>Substitute Document Number: 86R 28632</w:t>
          </w:r>
        </w:p>
      </w:tc>
      <w:tc>
        <w:tcPr>
          <w:tcW w:w="2453" w:type="pct"/>
        </w:tcPr>
        <w:p w:rsidR="00EC379B" w:rsidRDefault="00B17B23" w:rsidP="006D504F">
          <w:pPr>
            <w:pStyle w:val="Footer"/>
            <w:rPr>
              <w:rStyle w:val="PageNumber"/>
            </w:rPr>
          </w:pPr>
        </w:p>
        <w:p w:rsidR="00EC379B" w:rsidRDefault="00B17B23" w:rsidP="009C1E9A">
          <w:pPr>
            <w:pStyle w:val="Footer"/>
            <w:tabs>
              <w:tab w:val="clear" w:pos="8640"/>
              <w:tab w:val="right" w:pos="9360"/>
            </w:tabs>
            <w:jc w:val="right"/>
          </w:pPr>
        </w:p>
      </w:tc>
    </w:tr>
    <w:tr w:rsidR="00750278" w:rsidTr="009C1E9A">
      <w:trPr>
        <w:cantSplit/>
        <w:trHeight w:val="323"/>
      </w:trPr>
      <w:tc>
        <w:tcPr>
          <w:tcW w:w="0" w:type="pct"/>
          <w:gridSpan w:val="3"/>
        </w:tcPr>
        <w:p w:rsidR="00EC379B" w:rsidRDefault="00B17B2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B17B23" w:rsidP="009C1E9A">
          <w:pPr>
            <w:pStyle w:val="Footer"/>
            <w:tabs>
              <w:tab w:val="clear" w:pos="8640"/>
              <w:tab w:val="right" w:pos="9360"/>
            </w:tabs>
            <w:jc w:val="center"/>
          </w:pPr>
        </w:p>
      </w:tc>
    </w:tr>
  </w:tbl>
  <w:p w:rsidR="00EC379B" w:rsidRPr="00FF6F72" w:rsidRDefault="00B17B2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99D" w:rsidRDefault="00B17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17B23">
      <w:r>
        <w:separator/>
      </w:r>
    </w:p>
  </w:footnote>
  <w:footnote w:type="continuationSeparator" w:id="0">
    <w:p w:rsidR="00000000" w:rsidRDefault="00B1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99D" w:rsidRDefault="00B17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99D" w:rsidRDefault="00B17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99D" w:rsidRDefault="00B17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41E4"/>
    <w:multiLevelType w:val="hybridMultilevel"/>
    <w:tmpl w:val="FDA652BC"/>
    <w:lvl w:ilvl="0" w:tplc="C7BAD666">
      <w:start w:val="1"/>
      <w:numFmt w:val="bullet"/>
      <w:lvlText w:val=""/>
      <w:lvlJc w:val="left"/>
      <w:pPr>
        <w:tabs>
          <w:tab w:val="num" w:pos="720"/>
        </w:tabs>
        <w:ind w:left="720" w:hanging="360"/>
      </w:pPr>
      <w:rPr>
        <w:rFonts w:ascii="Symbol" w:hAnsi="Symbol" w:hint="default"/>
      </w:rPr>
    </w:lvl>
    <w:lvl w:ilvl="1" w:tplc="87DEAEB2" w:tentative="1">
      <w:start w:val="1"/>
      <w:numFmt w:val="bullet"/>
      <w:lvlText w:val="o"/>
      <w:lvlJc w:val="left"/>
      <w:pPr>
        <w:ind w:left="1440" w:hanging="360"/>
      </w:pPr>
      <w:rPr>
        <w:rFonts w:ascii="Courier New" w:hAnsi="Courier New" w:cs="Courier New" w:hint="default"/>
      </w:rPr>
    </w:lvl>
    <w:lvl w:ilvl="2" w:tplc="523647FA" w:tentative="1">
      <w:start w:val="1"/>
      <w:numFmt w:val="bullet"/>
      <w:lvlText w:val=""/>
      <w:lvlJc w:val="left"/>
      <w:pPr>
        <w:ind w:left="2160" w:hanging="360"/>
      </w:pPr>
      <w:rPr>
        <w:rFonts w:ascii="Wingdings" w:hAnsi="Wingdings" w:hint="default"/>
      </w:rPr>
    </w:lvl>
    <w:lvl w:ilvl="3" w:tplc="D0CEFC68" w:tentative="1">
      <w:start w:val="1"/>
      <w:numFmt w:val="bullet"/>
      <w:lvlText w:val=""/>
      <w:lvlJc w:val="left"/>
      <w:pPr>
        <w:ind w:left="2880" w:hanging="360"/>
      </w:pPr>
      <w:rPr>
        <w:rFonts w:ascii="Symbol" w:hAnsi="Symbol" w:hint="default"/>
      </w:rPr>
    </w:lvl>
    <w:lvl w:ilvl="4" w:tplc="D444D028" w:tentative="1">
      <w:start w:val="1"/>
      <w:numFmt w:val="bullet"/>
      <w:lvlText w:val="o"/>
      <w:lvlJc w:val="left"/>
      <w:pPr>
        <w:ind w:left="3600" w:hanging="360"/>
      </w:pPr>
      <w:rPr>
        <w:rFonts w:ascii="Courier New" w:hAnsi="Courier New" w:cs="Courier New" w:hint="default"/>
      </w:rPr>
    </w:lvl>
    <w:lvl w:ilvl="5" w:tplc="1BD06F24" w:tentative="1">
      <w:start w:val="1"/>
      <w:numFmt w:val="bullet"/>
      <w:lvlText w:val=""/>
      <w:lvlJc w:val="left"/>
      <w:pPr>
        <w:ind w:left="4320" w:hanging="360"/>
      </w:pPr>
      <w:rPr>
        <w:rFonts w:ascii="Wingdings" w:hAnsi="Wingdings" w:hint="default"/>
      </w:rPr>
    </w:lvl>
    <w:lvl w:ilvl="6" w:tplc="371C84DA" w:tentative="1">
      <w:start w:val="1"/>
      <w:numFmt w:val="bullet"/>
      <w:lvlText w:val=""/>
      <w:lvlJc w:val="left"/>
      <w:pPr>
        <w:ind w:left="5040" w:hanging="360"/>
      </w:pPr>
      <w:rPr>
        <w:rFonts w:ascii="Symbol" w:hAnsi="Symbol" w:hint="default"/>
      </w:rPr>
    </w:lvl>
    <w:lvl w:ilvl="7" w:tplc="00BC7A02" w:tentative="1">
      <w:start w:val="1"/>
      <w:numFmt w:val="bullet"/>
      <w:lvlText w:val="o"/>
      <w:lvlJc w:val="left"/>
      <w:pPr>
        <w:ind w:left="5760" w:hanging="360"/>
      </w:pPr>
      <w:rPr>
        <w:rFonts w:ascii="Courier New" w:hAnsi="Courier New" w:cs="Courier New" w:hint="default"/>
      </w:rPr>
    </w:lvl>
    <w:lvl w:ilvl="8" w:tplc="2ECC9B72" w:tentative="1">
      <w:start w:val="1"/>
      <w:numFmt w:val="bullet"/>
      <w:lvlText w:val=""/>
      <w:lvlJc w:val="left"/>
      <w:pPr>
        <w:ind w:left="6480" w:hanging="360"/>
      </w:pPr>
      <w:rPr>
        <w:rFonts w:ascii="Wingdings" w:hAnsi="Wingdings" w:hint="default"/>
      </w:rPr>
    </w:lvl>
  </w:abstractNum>
  <w:abstractNum w:abstractNumId="1" w15:restartNumberingAfterBreak="0">
    <w:nsid w:val="1F34538C"/>
    <w:multiLevelType w:val="hybridMultilevel"/>
    <w:tmpl w:val="C468567E"/>
    <w:lvl w:ilvl="0" w:tplc="507E5ECE">
      <w:start w:val="1"/>
      <w:numFmt w:val="bullet"/>
      <w:lvlText w:val=""/>
      <w:lvlJc w:val="left"/>
      <w:pPr>
        <w:tabs>
          <w:tab w:val="num" w:pos="720"/>
        </w:tabs>
        <w:ind w:left="720" w:hanging="360"/>
      </w:pPr>
      <w:rPr>
        <w:rFonts w:ascii="Symbol" w:hAnsi="Symbol" w:hint="default"/>
      </w:rPr>
    </w:lvl>
    <w:lvl w:ilvl="1" w:tplc="9474CF64" w:tentative="1">
      <w:start w:val="1"/>
      <w:numFmt w:val="bullet"/>
      <w:lvlText w:val="o"/>
      <w:lvlJc w:val="left"/>
      <w:pPr>
        <w:ind w:left="1440" w:hanging="360"/>
      </w:pPr>
      <w:rPr>
        <w:rFonts w:ascii="Courier New" w:hAnsi="Courier New" w:cs="Courier New" w:hint="default"/>
      </w:rPr>
    </w:lvl>
    <w:lvl w:ilvl="2" w:tplc="B75E3674" w:tentative="1">
      <w:start w:val="1"/>
      <w:numFmt w:val="bullet"/>
      <w:lvlText w:val=""/>
      <w:lvlJc w:val="left"/>
      <w:pPr>
        <w:ind w:left="2160" w:hanging="360"/>
      </w:pPr>
      <w:rPr>
        <w:rFonts w:ascii="Wingdings" w:hAnsi="Wingdings" w:hint="default"/>
      </w:rPr>
    </w:lvl>
    <w:lvl w:ilvl="3" w:tplc="8C587A58" w:tentative="1">
      <w:start w:val="1"/>
      <w:numFmt w:val="bullet"/>
      <w:lvlText w:val=""/>
      <w:lvlJc w:val="left"/>
      <w:pPr>
        <w:ind w:left="2880" w:hanging="360"/>
      </w:pPr>
      <w:rPr>
        <w:rFonts w:ascii="Symbol" w:hAnsi="Symbol" w:hint="default"/>
      </w:rPr>
    </w:lvl>
    <w:lvl w:ilvl="4" w:tplc="107CE08A" w:tentative="1">
      <w:start w:val="1"/>
      <w:numFmt w:val="bullet"/>
      <w:lvlText w:val="o"/>
      <w:lvlJc w:val="left"/>
      <w:pPr>
        <w:ind w:left="3600" w:hanging="360"/>
      </w:pPr>
      <w:rPr>
        <w:rFonts w:ascii="Courier New" w:hAnsi="Courier New" w:cs="Courier New" w:hint="default"/>
      </w:rPr>
    </w:lvl>
    <w:lvl w:ilvl="5" w:tplc="C7A000D8" w:tentative="1">
      <w:start w:val="1"/>
      <w:numFmt w:val="bullet"/>
      <w:lvlText w:val=""/>
      <w:lvlJc w:val="left"/>
      <w:pPr>
        <w:ind w:left="4320" w:hanging="360"/>
      </w:pPr>
      <w:rPr>
        <w:rFonts w:ascii="Wingdings" w:hAnsi="Wingdings" w:hint="default"/>
      </w:rPr>
    </w:lvl>
    <w:lvl w:ilvl="6" w:tplc="ACF844FE" w:tentative="1">
      <w:start w:val="1"/>
      <w:numFmt w:val="bullet"/>
      <w:lvlText w:val=""/>
      <w:lvlJc w:val="left"/>
      <w:pPr>
        <w:ind w:left="5040" w:hanging="360"/>
      </w:pPr>
      <w:rPr>
        <w:rFonts w:ascii="Symbol" w:hAnsi="Symbol" w:hint="default"/>
      </w:rPr>
    </w:lvl>
    <w:lvl w:ilvl="7" w:tplc="282C994C" w:tentative="1">
      <w:start w:val="1"/>
      <w:numFmt w:val="bullet"/>
      <w:lvlText w:val="o"/>
      <w:lvlJc w:val="left"/>
      <w:pPr>
        <w:ind w:left="5760" w:hanging="360"/>
      </w:pPr>
      <w:rPr>
        <w:rFonts w:ascii="Courier New" w:hAnsi="Courier New" w:cs="Courier New" w:hint="default"/>
      </w:rPr>
    </w:lvl>
    <w:lvl w:ilvl="8" w:tplc="A6DE191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78"/>
    <w:rsid w:val="00750278"/>
    <w:rsid w:val="00B1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74CE26-57A7-4A4D-89B5-F3AA9AB7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73308"/>
    <w:rPr>
      <w:sz w:val="16"/>
      <w:szCs w:val="16"/>
    </w:rPr>
  </w:style>
  <w:style w:type="paragraph" w:styleId="CommentText">
    <w:name w:val="annotation text"/>
    <w:basedOn w:val="Normal"/>
    <w:link w:val="CommentTextChar"/>
    <w:semiHidden/>
    <w:unhideWhenUsed/>
    <w:rsid w:val="00773308"/>
    <w:rPr>
      <w:sz w:val="20"/>
      <w:szCs w:val="20"/>
    </w:rPr>
  </w:style>
  <w:style w:type="character" w:customStyle="1" w:styleId="CommentTextChar">
    <w:name w:val="Comment Text Char"/>
    <w:basedOn w:val="DefaultParagraphFont"/>
    <w:link w:val="CommentText"/>
    <w:semiHidden/>
    <w:rsid w:val="00773308"/>
  </w:style>
  <w:style w:type="paragraph" w:styleId="CommentSubject">
    <w:name w:val="annotation subject"/>
    <w:basedOn w:val="CommentText"/>
    <w:next w:val="CommentText"/>
    <w:link w:val="CommentSubjectChar"/>
    <w:semiHidden/>
    <w:unhideWhenUsed/>
    <w:rsid w:val="00773308"/>
    <w:rPr>
      <w:b/>
      <w:bCs/>
    </w:rPr>
  </w:style>
  <w:style w:type="character" w:customStyle="1" w:styleId="CommentSubjectChar">
    <w:name w:val="Comment Subject Char"/>
    <w:basedOn w:val="CommentTextChar"/>
    <w:link w:val="CommentSubject"/>
    <w:semiHidden/>
    <w:rsid w:val="00773308"/>
    <w:rPr>
      <w:b/>
      <w:bCs/>
    </w:rPr>
  </w:style>
  <w:style w:type="paragraph" w:styleId="Revision">
    <w:name w:val="Revision"/>
    <w:hidden/>
    <w:uiPriority w:val="99"/>
    <w:semiHidden/>
    <w:rsid w:val="00FA450B"/>
    <w:rPr>
      <w:sz w:val="24"/>
      <w:szCs w:val="24"/>
    </w:rPr>
  </w:style>
  <w:style w:type="paragraph" w:styleId="ListParagraph">
    <w:name w:val="List Paragraph"/>
    <w:basedOn w:val="Normal"/>
    <w:uiPriority w:val="34"/>
    <w:qFormat/>
    <w:rsid w:val="00D30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7555</Characters>
  <Application>Microsoft Office Word</Application>
  <DocSecurity>4</DocSecurity>
  <Lines>146</Lines>
  <Paragraphs>35</Paragraphs>
  <ScaleCrop>false</ScaleCrop>
  <HeadingPairs>
    <vt:vector size="2" baseType="variant">
      <vt:variant>
        <vt:lpstr>Title</vt:lpstr>
      </vt:variant>
      <vt:variant>
        <vt:i4>1</vt:i4>
      </vt:variant>
    </vt:vector>
  </HeadingPairs>
  <TitlesOfParts>
    <vt:vector size="1" baseType="lpstr">
      <vt:lpstr>BA - HB01323 (Committee Report (Substituted))</vt:lpstr>
    </vt:vector>
  </TitlesOfParts>
  <Company>State of Texas</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29283</dc:subject>
  <dc:creator>State of Texas</dc:creator>
  <dc:description>HB 1323 by Murr-(H)Criminal Jurisprudence (Substitute Document Number: 86R 28632)</dc:description>
  <cp:lastModifiedBy>Erin Conway</cp:lastModifiedBy>
  <cp:revision>2</cp:revision>
  <cp:lastPrinted>2019-04-23T21:23:00Z</cp:lastPrinted>
  <dcterms:created xsi:type="dcterms:W3CDTF">2019-04-27T02:01:00Z</dcterms:created>
  <dcterms:modified xsi:type="dcterms:W3CDTF">2019-04-27T02:01:00Z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19.114.913</vt:lpwstr>
  </property>
</Properties>
</file>