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5FF2" w:rsidTr="00345119">
        <w:tc>
          <w:tcPr>
            <w:tcW w:w="9576" w:type="dxa"/>
            <w:noWrap/>
          </w:tcPr>
          <w:p w:rsidR="008423E4" w:rsidRPr="0022177D" w:rsidRDefault="00BA46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4677" w:rsidP="008423E4">
      <w:pPr>
        <w:jc w:val="center"/>
      </w:pPr>
    </w:p>
    <w:p w:rsidR="008423E4" w:rsidRPr="00B31F0E" w:rsidRDefault="00BA4677" w:rsidP="008423E4"/>
    <w:p w:rsidR="008423E4" w:rsidRPr="00742794" w:rsidRDefault="00BA46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5FF2" w:rsidTr="00345119">
        <w:tc>
          <w:tcPr>
            <w:tcW w:w="9576" w:type="dxa"/>
          </w:tcPr>
          <w:p w:rsidR="008423E4" w:rsidRPr="00861995" w:rsidRDefault="00BA4677" w:rsidP="00345119">
            <w:pPr>
              <w:jc w:val="right"/>
            </w:pPr>
            <w:r>
              <w:t>C.S.H.B. 1335</w:t>
            </w:r>
          </w:p>
        </w:tc>
      </w:tr>
      <w:tr w:rsidR="00395FF2" w:rsidTr="00345119">
        <w:tc>
          <w:tcPr>
            <w:tcW w:w="9576" w:type="dxa"/>
          </w:tcPr>
          <w:p w:rsidR="008423E4" w:rsidRPr="00861995" w:rsidRDefault="00BA4677" w:rsidP="004C7A94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395FF2" w:rsidTr="00345119">
        <w:tc>
          <w:tcPr>
            <w:tcW w:w="9576" w:type="dxa"/>
          </w:tcPr>
          <w:p w:rsidR="008423E4" w:rsidRPr="00861995" w:rsidRDefault="00BA4677" w:rsidP="00345119">
            <w:pPr>
              <w:jc w:val="right"/>
            </w:pPr>
            <w:r>
              <w:t>Public Health</w:t>
            </w:r>
          </w:p>
        </w:tc>
      </w:tr>
      <w:tr w:rsidR="00395FF2" w:rsidTr="00345119">
        <w:tc>
          <w:tcPr>
            <w:tcW w:w="9576" w:type="dxa"/>
          </w:tcPr>
          <w:p w:rsidR="008423E4" w:rsidRDefault="00BA467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A4677" w:rsidP="008423E4">
      <w:pPr>
        <w:tabs>
          <w:tab w:val="right" w:pos="9360"/>
        </w:tabs>
      </w:pPr>
    </w:p>
    <w:p w:rsidR="008423E4" w:rsidRDefault="00BA4677" w:rsidP="008423E4"/>
    <w:p w:rsidR="008423E4" w:rsidRDefault="00BA46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5FF2" w:rsidTr="00345119">
        <w:tc>
          <w:tcPr>
            <w:tcW w:w="9576" w:type="dxa"/>
          </w:tcPr>
          <w:p w:rsidR="008423E4" w:rsidRPr="00A8133F" w:rsidRDefault="00BA4677" w:rsidP="002334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4677" w:rsidP="002334BF"/>
          <w:p w:rsidR="00F56F66" w:rsidRDefault="00BA4677" w:rsidP="002334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Discussions on school safety following recent traumatic events </w:t>
            </w:r>
            <w:r>
              <w:t xml:space="preserve">such as Hurricane Harvey and the Santa Fe </w:t>
            </w:r>
            <w:r>
              <w:t>High S</w:t>
            </w:r>
            <w:r>
              <w:t xml:space="preserve">chool shooting highlighted the degree of public concern regarding the provision of behavioral health care in schools. </w:t>
            </w:r>
            <w:r>
              <w:t xml:space="preserve">Recognizing that the state would most likely not have the funds to provide for a </w:t>
            </w:r>
            <w:r>
              <w:t xml:space="preserve">mental health professional </w:t>
            </w:r>
            <w:r>
              <w:t>in each school across the stat</w:t>
            </w:r>
            <w:r>
              <w:t xml:space="preserve">e, </w:t>
            </w:r>
            <w:r>
              <w:t>stakeholders suggested</w:t>
            </w:r>
            <w:r>
              <w:t xml:space="preserve"> </w:t>
            </w:r>
            <w:r>
              <w:t>the creation of a</w:t>
            </w:r>
            <w:r>
              <w:t xml:space="preserve"> flexible, dedicated grant for </w:t>
            </w:r>
            <w:r>
              <w:t xml:space="preserve">which </w:t>
            </w:r>
            <w:r>
              <w:t xml:space="preserve">school districts </w:t>
            </w:r>
            <w:r>
              <w:t>could</w:t>
            </w:r>
            <w:r>
              <w:t xml:space="preserve"> apply to cover the salaries of behavioral health professionals </w:t>
            </w:r>
            <w:r>
              <w:t xml:space="preserve">to provide appropriate care for </w:t>
            </w:r>
            <w:r>
              <w:t xml:space="preserve">the schools that need it most. </w:t>
            </w:r>
            <w:r w:rsidRPr="00997E7F">
              <w:t>C.S.</w:t>
            </w:r>
            <w:r>
              <w:t>H.B. 1335 seeks to addr</w:t>
            </w:r>
            <w:r>
              <w:t xml:space="preserve">ess the need for funding such care by creating a grant program </w:t>
            </w:r>
            <w:r>
              <w:t>for</w:t>
            </w:r>
            <w:r>
              <w:t xml:space="preserve"> public school districts </w:t>
            </w:r>
            <w:r>
              <w:t xml:space="preserve">seeking to establish school-based behavioral health centers. </w:t>
            </w:r>
          </w:p>
          <w:p w:rsidR="008423E4" w:rsidRPr="00E26B13" w:rsidRDefault="00BA4677" w:rsidP="002334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95FF2" w:rsidTr="00345119">
        <w:tc>
          <w:tcPr>
            <w:tcW w:w="9576" w:type="dxa"/>
          </w:tcPr>
          <w:p w:rsidR="0017725B" w:rsidRDefault="00BA4677" w:rsidP="002334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4677" w:rsidP="002334BF">
            <w:pPr>
              <w:rPr>
                <w:b/>
                <w:u w:val="single"/>
              </w:rPr>
            </w:pPr>
          </w:p>
          <w:p w:rsidR="00F66BEB" w:rsidRPr="00F66BEB" w:rsidRDefault="00BA4677" w:rsidP="002334BF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A4677" w:rsidP="002334BF">
            <w:pPr>
              <w:rPr>
                <w:b/>
                <w:u w:val="single"/>
              </w:rPr>
            </w:pPr>
          </w:p>
        </w:tc>
      </w:tr>
      <w:tr w:rsidR="00395FF2" w:rsidTr="00345119">
        <w:tc>
          <w:tcPr>
            <w:tcW w:w="9576" w:type="dxa"/>
          </w:tcPr>
          <w:p w:rsidR="008423E4" w:rsidRPr="00A8133F" w:rsidRDefault="00BA4677" w:rsidP="002334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4677" w:rsidP="002334BF"/>
          <w:p w:rsidR="00F66BEB" w:rsidRDefault="00BA4677" w:rsidP="002334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</w:t>
            </w:r>
            <w:r>
              <w:t xml:space="preserve">the </w:t>
            </w:r>
            <w:r>
              <w:t>Health and Human Services</w:t>
            </w:r>
            <w:r>
              <w:t xml:space="preserve"> Commission</w:t>
            </w:r>
            <w:r>
              <w:t xml:space="preserve"> in SECTION 1 of this bill.</w:t>
            </w:r>
          </w:p>
          <w:p w:rsidR="008423E4" w:rsidRPr="00E21FDC" w:rsidRDefault="00BA4677" w:rsidP="002334BF">
            <w:pPr>
              <w:rPr>
                <w:b/>
              </w:rPr>
            </w:pPr>
          </w:p>
        </w:tc>
      </w:tr>
      <w:tr w:rsidR="00395FF2" w:rsidTr="00345119">
        <w:tc>
          <w:tcPr>
            <w:tcW w:w="9576" w:type="dxa"/>
          </w:tcPr>
          <w:p w:rsidR="008423E4" w:rsidRPr="00A8133F" w:rsidRDefault="00BA4677" w:rsidP="002334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4677" w:rsidP="002334BF"/>
          <w:p w:rsidR="00D41E62" w:rsidRDefault="00BA4677" w:rsidP="002334BF">
            <w:pPr>
              <w:pStyle w:val="Header"/>
              <w:jc w:val="both"/>
            </w:pPr>
            <w:r w:rsidRPr="00997E7F">
              <w:t>C.S.</w:t>
            </w:r>
            <w:r>
              <w:t>H.B</w:t>
            </w:r>
            <w:r>
              <w:t>.</w:t>
            </w:r>
            <w:r>
              <w:t xml:space="preserve"> 1335 amends the Education Code to authorize a public school district to establish a school</w:t>
            </w:r>
            <w:r>
              <w:noBreakHyphen/>
            </w:r>
            <w:r>
              <w:t>based behavioral health center to provide accessible behavioral health services</w:t>
            </w:r>
            <w:r>
              <w:t xml:space="preserve"> </w:t>
            </w:r>
            <w:r>
              <w:t>to students and their families, improve the emotional well-being and academic perfor</w:t>
            </w:r>
            <w:r>
              <w:t>mance of medically underserved students and their families, and integrate behavioral health services in the school environment</w:t>
            </w:r>
            <w:r>
              <w:t xml:space="preserve">. </w:t>
            </w:r>
            <w:r>
              <w:t>The bill authorizes a</w:t>
            </w:r>
            <w:r>
              <w:t xml:space="preserve"> </w:t>
            </w:r>
            <w:r w:rsidRPr="0063307C">
              <w:t xml:space="preserve">district </w:t>
            </w:r>
            <w:r>
              <w:t xml:space="preserve">to </w:t>
            </w:r>
            <w:r w:rsidRPr="0063307C">
              <w:t xml:space="preserve">combine </w:t>
            </w:r>
            <w:r>
              <w:t xml:space="preserve">such </w:t>
            </w:r>
            <w:r w:rsidRPr="0063307C">
              <w:t xml:space="preserve">a center with a school-based health center or </w:t>
            </w:r>
            <w:r>
              <w:t xml:space="preserve">with </w:t>
            </w:r>
            <w:r w:rsidRPr="0063307C">
              <w:t>any other district program tha</w:t>
            </w:r>
            <w:r w:rsidRPr="0063307C">
              <w:t>t provides primary health care services to students.</w:t>
            </w:r>
            <w:r>
              <w:t xml:space="preserve"> The bill</w:t>
            </w:r>
            <w:r>
              <w:t xml:space="preserve"> </w:t>
            </w:r>
            <w:r>
              <w:t>requires</w:t>
            </w:r>
            <w:r>
              <w:t xml:space="preserve"> </w:t>
            </w:r>
            <w:r>
              <w:t>a</w:t>
            </w:r>
            <w:r w:rsidRPr="0063307C">
              <w:t xml:space="preserve"> </w:t>
            </w:r>
            <w:r>
              <w:t xml:space="preserve">school-based </w:t>
            </w:r>
            <w:r>
              <w:t>behavioral health center</w:t>
            </w:r>
            <w:r>
              <w:t xml:space="preserve"> to</w:t>
            </w:r>
            <w:r>
              <w:t xml:space="preserve"> do the following:</w:t>
            </w:r>
          </w:p>
          <w:p w:rsidR="00D41E62" w:rsidRDefault="00BA4677" w:rsidP="002334B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be located at or near a district facility; </w:t>
            </w:r>
          </w:p>
          <w:p w:rsidR="00D41E62" w:rsidRDefault="00BA4677" w:rsidP="002334B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be organized with assistance from the community and relevant health care provide</w:t>
            </w:r>
            <w:r>
              <w:t xml:space="preserve">rs; </w:t>
            </w:r>
          </w:p>
          <w:p w:rsidR="00D41E62" w:rsidRDefault="00BA4677" w:rsidP="002334B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provide behavioral health services during school hours to students in accordance with established behavioral health standards, community practice</w:t>
            </w:r>
            <w:r>
              <w:t>, and applicable federal, state, and local laws</w:t>
            </w:r>
            <w:r>
              <w:t xml:space="preserve">; and </w:t>
            </w:r>
          </w:p>
          <w:p w:rsidR="00D41E62" w:rsidRDefault="00BA4677" w:rsidP="002334B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be</w:t>
            </w:r>
            <w:r>
              <w:t xml:space="preserve"> </w:t>
            </w:r>
            <w:r w:rsidRPr="0063307C">
              <w:t>adm</w:t>
            </w:r>
            <w:r>
              <w:t>inistered by an entity</w:t>
            </w:r>
            <w:r>
              <w:t xml:space="preserve"> belonging to </w:t>
            </w:r>
            <w:r>
              <w:t>one of the categories of community</w:t>
            </w:r>
            <w:r>
              <w:noBreakHyphen/>
            </w:r>
            <w:r>
              <w:t>based</w:t>
            </w:r>
            <w:r>
              <w:t xml:space="preserve"> </w:t>
            </w:r>
            <w:r>
              <w:t>organizations</w:t>
            </w:r>
            <w:r>
              <w:t xml:space="preserve"> specified </w:t>
            </w:r>
            <w:r>
              <w:t>by the bill</w:t>
            </w:r>
            <w:r>
              <w:t xml:space="preserve">. </w:t>
            </w:r>
          </w:p>
          <w:p w:rsidR="0062110E" w:rsidRDefault="00BA4677" w:rsidP="002334BF">
            <w:pPr>
              <w:pStyle w:val="Header"/>
              <w:jc w:val="both"/>
            </w:pPr>
            <w:r>
              <w:t xml:space="preserve">The bill </w:t>
            </w:r>
            <w:r>
              <w:t xml:space="preserve">requires the consent of the student's parent or guardian </w:t>
            </w:r>
            <w:r>
              <w:t>for the provision of</w:t>
            </w:r>
            <w:r>
              <w:t xml:space="preserve"> school-based behavioral health center services to </w:t>
            </w:r>
            <w:r>
              <w:t>the</w:t>
            </w:r>
            <w:r>
              <w:t xml:space="preserve"> student. </w:t>
            </w:r>
            <w:r>
              <w:t xml:space="preserve">For purposes of the bill's </w:t>
            </w:r>
            <w:r>
              <w:t>provisions, "behavioral health services" include</w:t>
            </w:r>
            <w:r>
              <w:t>s</w:t>
            </w:r>
            <w:r>
              <w:t xml:space="preserve"> </w:t>
            </w:r>
            <w:r w:rsidRPr="001067CA">
              <w:t xml:space="preserve">mental health assessments, crisis interventions, counseling, </w:t>
            </w:r>
            <w:r w:rsidRPr="00AA3A3A">
              <w:t>including</w:t>
            </w:r>
            <w:r>
              <w:t xml:space="preserve"> substance abuse counseling,</w:t>
            </w:r>
            <w:r w:rsidRPr="001067CA">
              <w:t xml:space="preserve"> and referrals to a continuum of mental health services</w:t>
            </w:r>
            <w:r>
              <w:t>.</w:t>
            </w:r>
          </w:p>
          <w:p w:rsidR="0062110E" w:rsidRDefault="00BA4677" w:rsidP="002334BF">
            <w:pPr>
              <w:pStyle w:val="Header"/>
              <w:jc w:val="both"/>
            </w:pPr>
          </w:p>
          <w:p w:rsidR="0063307C" w:rsidRDefault="00BA4677" w:rsidP="002334BF">
            <w:pPr>
              <w:pStyle w:val="Header"/>
              <w:jc w:val="both"/>
            </w:pPr>
            <w:r w:rsidRPr="00997E7F">
              <w:t>C.S.</w:t>
            </w:r>
            <w:r>
              <w:t xml:space="preserve">H.B. 1335 </w:t>
            </w:r>
            <w:r>
              <w:t xml:space="preserve">requires the executive commissioner </w:t>
            </w:r>
            <w:r>
              <w:t xml:space="preserve">of the Health and Human Services Commission to administer a program </w:t>
            </w:r>
            <w:r w:rsidRPr="00923AD6">
              <w:t xml:space="preserve">under which grants are awarded to </w:t>
            </w:r>
            <w:r>
              <w:t xml:space="preserve">eligible entities to </w:t>
            </w:r>
            <w:r w:rsidRPr="00923AD6">
              <w:t xml:space="preserve">assist districts with the costs of operating </w:t>
            </w:r>
            <w:r>
              <w:t xml:space="preserve">school-based behavioral </w:t>
            </w:r>
            <w:r w:rsidRPr="00923AD6">
              <w:t>health centers</w:t>
            </w:r>
            <w:r>
              <w:t xml:space="preserve">. </w:t>
            </w:r>
            <w:r w:rsidRPr="00520CB9">
              <w:t xml:space="preserve">The bill </w:t>
            </w:r>
            <w:r w:rsidRPr="00057288">
              <w:t>sets out eligibility requirements for s</w:t>
            </w:r>
            <w:r w:rsidRPr="00057288">
              <w:t>uch a grant and</w:t>
            </w:r>
            <w:r w:rsidRPr="00057288">
              <w:t xml:space="preserve"> requires the executive commissioner</w:t>
            </w:r>
            <w:r w:rsidRPr="00520CB9">
              <w:t xml:space="preserve"> </w:t>
            </w:r>
            <w:r w:rsidRPr="00520CB9">
              <w:t xml:space="preserve">in awarding grants under the program </w:t>
            </w:r>
            <w:r w:rsidRPr="00520CB9">
              <w:t xml:space="preserve">to give priority to </w:t>
            </w:r>
            <w:r w:rsidRPr="009D7569">
              <w:t xml:space="preserve">eligible entities that seek funding for a school-based behavioral health center that meet </w:t>
            </w:r>
            <w:r>
              <w:t>certain criteria</w:t>
            </w:r>
            <w:r>
              <w:t>.</w:t>
            </w:r>
            <w:r>
              <w:t xml:space="preserve"> The bill</w:t>
            </w:r>
            <w:r>
              <w:t xml:space="preserve"> requires the executive commiss</w:t>
            </w:r>
            <w:r>
              <w:t xml:space="preserve">ioner </w:t>
            </w:r>
            <w:r>
              <w:t>to determine the amount of each grant</w:t>
            </w:r>
            <w:r>
              <w:t xml:space="preserve"> awarded </w:t>
            </w:r>
            <w:r>
              <w:t xml:space="preserve">and to consider </w:t>
            </w:r>
            <w:r>
              <w:t xml:space="preserve">certain </w:t>
            </w:r>
            <w:r>
              <w:t xml:space="preserve">factors in </w:t>
            </w:r>
            <w:r>
              <w:t>making that determination</w:t>
            </w:r>
            <w:r>
              <w:t xml:space="preserve">. </w:t>
            </w:r>
            <w:r>
              <w:t xml:space="preserve">The bill </w:t>
            </w:r>
            <w:r>
              <w:t xml:space="preserve">limits the </w:t>
            </w:r>
            <w:r>
              <w:t>use</w:t>
            </w:r>
            <w:r>
              <w:t xml:space="preserve"> of </w:t>
            </w:r>
            <w:r>
              <w:t xml:space="preserve">a </w:t>
            </w:r>
            <w:r>
              <w:t xml:space="preserve">grant to </w:t>
            </w:r>
            <w:r>
              <w:t xml:space="preserve">paying </w:t>
            </w:r>
            <w:r>
              <w:t>the salaries of health care providers who provide behavioral health services through the center</w:t>
            </w:r>
            <w:r>
              <w:t xml:space="preserve"> and </w:t>
            </w:r>
            <w:r>
              <w:t>costs related to managing the center's programs</w:t>
            </w:r>
            <w:r>
              <w:t>.</w:t>
            </w:r>
            <w:r>
              <w:t xml:space="preserve"> The bill requires the executive commissioner</w:t>
            </w:r>
            <w:r>
              <w:t>, in consultation with the commissioner of education</w:t>
            </w:r>
            <w:r>
              <w:t>,</w:t>
            </w:r>
            <w:r>
              <w:t xml:space="preserve"> to </w:t>
            </w:r>
            <w:r w:rsidRPr="00131776">
              <w:t>adopt rules as necessary to implement th</w:t>
            </w:r>
            <w:r>
              <w:t>e bill's provisions</w:t>
            </w:r>
            <w:r>
              <w:t xml:space="preserve"> relating to the grant program</w:t>
            </w:r>
            <w:r>
              <w:t xml:space="preserve">, </w:t>
            </w:r>
            <w:r w:rsidRPr="00131776">
              <w:t xml:space="preserve">including </w:t>
            </w:r>
            <w:r w:rsidRPr="00131776">
              <w:t xml:space="preserve">rules regarding the evaluation and monitoring of </w:t>
            </w:r>
            <w:r>
              <w:t xml:space="preserve">school-based behavioral health </w:t>
            </w:r>
            <w:r w:rsidRPr="00131776">
              <w:t xml:space="preserve">centers operated by </w:t>
            </w:r>
            <w:r>
              <w:t xml:space="preserve">eligible entities </w:t>
            </w:r>
            <w:r w:rsidRPr="00131776">
              <w:t>that receive a grant</w:t>
            </w:r>
            <w:r>
              <w:t>.</w:t>
            </w:r>
            <w:r>
              <w:t xml:space="preserve"> </w:t>
            </w:r>
            <w:r>
              <w:t>The bill applies beginning with the 2019-2020 school year.</w:t>
            </w:r>
          </w:p>
          <w:p w:rsidR="008423E4" w:rsidRPr="00835628" w:rsidRDefault="00BA4677" w:rsidP="002334BF">
            <w:pPr>
              <w:rPr>
                <w:b/>
              </w:rPr>
            </w:pPr>
          </w:p>
        </w:tc>
      </w:tr>
      <w:tr w:rsidR="00395FF2" w:rsidTr="00345119">
        <w:tc>
          <w:tcPr>
            <w:tcW w:w="9576" w:type="dxa"/>
          </w:tcPr>
          <w:p w:rsidR="008423E4" w:rsidRPr="00A8133F" w:rsidRDefault="00BA4677" w:rsidP="002334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A4677" w:rsidP="002334BF"/>
          <w:p w:rsidR="008423E4" w:rsidRPr="003624F2" w:rsidRDefault="00BA4677" w:rsidP="002334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</w:t>
            </w:r>
            <w:r>
              <w:t>eceive the necessary vote, September 1, 2019.</w:t>
            </w:r>
          </w:p>
          <w:p w:rsidR="008423E4" w:rsidRPr="00233FDB" w:rsidRDefault="00BA4677" w:rsidP="002334BF">
            <w:pPr>
              <w:rPr>
                <w:b/>
              </w:rPr>
            </w:pPr>
          </w:p>
        </w:tc>
      </w:tr>
      <w:tr w:rsidR="00395FF2" w:rsidTr="00345119">
        <w:tc>
          <w:tcPr>
            <w:tcW w:w="9576" w:type="dxa"/>
          </w:tcPr>
          <w:p w:rsidR="004C7A94" w:rsidRDefault="00BA4677" w:rsidP="004C7A9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86413" w:rsidRDefault="00BA4677" w:rsidP="004C7A94">
            <w:pPr>
              <w:jc w:val="both"/>
              <w:rPr>
                <w:b/>
                <w:u w:val="single"/>
              </w:rPr>
            </w:pPr>
          </w:p>
          <w:p w:rsidR="00B61297" w:rsidRDefault="00BA4677" w:rsidP="00B61297">
            <w:pPr>
              <w:jc w:val="both"/>
            </w:pPr>
            <w:r>
              <w:t xml:space="preserve">While C.S.H.B. 1335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B61297" w:rsidRDefault="00BA4677" w:rsidP="00B61297">
            <w:pPr>
              <w:jc w:val="both"/>
            </w:pPr>
          </w:p>
          <w:p w:rsidR="00B61297" w:rsidRDefault="00BA4677" w:rsidP="00B61297">
            <w:pPr>
              <w:jc w:val="both"/>
            </w:pPr>
            <w:r>
              <w:t>The substitute changes the recipient of a grant from a public school district to an eligible entity that establishes or proposes to establish a school-based behavioral health center under an agreement with a dist</w:t>
            </w:r>
            <w:r>
              <w:t>rict but requires such an entity to provide evidence that the entity's grant request is approved by the district. A school district is among the organizations defined as eligible entities.</w:t>
            </w:r>
          </w:p>
          <w:p w:rsidR="00B61297" w:rsidRDefault="00BA4677" w:rsidP="00B61297">
            <w:pPr>
              <w:jc w:val="both"/>
            </w:pPr>
          </w:p>
          <w:p w:rsidR="00B61297" w:rsidRDefault="00BA4677" w:rsidP="00B61297">
            <w:pPr>
              <w:jc w:val="both"/>
            </w:pPr>
            <w:r>
              <w:t>The substitute revises the definition</w:t>
            </w:r>
            <w:r>
              <w:t xml:space="preserve"> of "behavioral health services" and includes an open</w:t>
            </w:r>
            <w:r>
              <w:noBreakHyphen/>
              <w:t>enrollment charter school and a local communities in schools program among the community-based organizations defined as eligible entities.</w:t>
            </w:r>
          </w:p>
          <w:p w:rsidR="00B61297" w:rsidRDefault="00BA4677" w:rsidP="00B61297">
            <w:pPr>
              <w:jc w:val="both"/>
            </w:pPr>
          </w:p>
          <w:p w:rsidR="00B61297" w:rsidRDefault="00BA4677" w:rsidP="00B61297">
            <w:pPr>
              <w:jc w:val="both"/>
            </w:pPr>
            <w:r>
              <w:t xml:space="preserve">The substitute includes the following: </w:t>
            </w:r>
          </w:p>
          <w:p w:rsidR="00B61297" w:rsidRDefault="00BA4677" w:rsidP="00B61297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 provision requiring </w:t>
            </w:r>
            <w:r>
              <w:t>parental or guardian consent for a center's provision of services to a student; and</w:t>
            </w:r>
          </w:p>
          <w:p w:rsidR="00B61297" w:rsidRDefault="00BA4677" w:rsidP="00B61297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specification that the adoption of rules by the executive commissioner of the Health and Human Services Commission is in consultation with the commissioner of education.</w:t>
            </w:r>
          </w:p>
          <w:p w:rsidR="00B61297" w:rsidRDefault="00BA4677" w:rsidP="00B61297">
            <w:pPr>
              <w:jc w:val="both"/>
            </w:pPr>
          </w:p>
          <w:p w:rsidR="00B61297" w:rsidRDefault="00BA4677" w:rsidP="00B61297">
            <w:pPr>
              <w:jc w:val="both"/>
            </w:pPr>
            <w:r>
              <w:t>The substitute does not include the following:</w:t>
            </w:r>
          </w:p>
          <w:p w:rsidR="00B61297" w:rsidRDefault="00BA4677" w:rsidP="00B61297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a requirement, as a condition of receiving a grant, to provide sufficient evidence that the center will offer 24-hour coverage through an on-call system to ensure year-round access;</w:t>
            </w:r>
          </w:p>
          <w:p w:rsidR="00B61297" w:rsidRDefault="00BA4677" w:rsidP="00B61297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an authorization to use the grant for overhead costs of the center; and</w:t>
            </w:r>
          </w:p>
          <w:p w:rsidR="00B61297" w:rsidRDefault="00BA4677" w:rsidP="00B61297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a requirement for the executive commissioner to provide certain assistance, training, support, and information on best practices to a district that receives a grant.</w:t>
            </w:r>
          </w:p>
          <w:p w:rsidR="00B61297" w:rsidRPr="004C7A94" w:rsidRDefault="00BA4677" w:rsidP="00B61297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BA467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467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4677">
      <w:r>
        <w:separator/>
      </w:r>
    </w:p>
  </w:endnote>
  <w:endnote w:type="continuationSeparator" w:id="0">
    <w:p w:rsidR="00000000" w:rsidRDefault="00BA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5FF2" w:rsidTr="009C1E9A">
      <w:trPr>
        <w:cantSplit/>
      </w:trPr>
      <w:tc>
        <w:tcPr>
          <w:tcW w:w="0" w:type="pct"/>
        </w:tcPr>
        <w:p w:rsidR="00137D90" w:rsidRDefault="00BA46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46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46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46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46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5FF2" w:rsidTr="009C1E9A">
      <w:trPr>
        <w:cantSplit/>
      </w:trPr>
      <w:tc>
        <w:tcPr>
          <w:tcW w:w="0" w:type="pct"/>
        </w:tcPr>
        <w:p w:rsidR="00EC379B" w:rsidRDefault="00BA46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46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28132</w:t>
          </w:r>
        </w:p>
      </w:tc>
      <w:tc>
        <w:tcPr>
          <w:tcW w:w="2453" w:type="pct"/>
        </w:tcPr>
        <w:p w:rsidR="00EC379B" w:rsidRDefault="00BA46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19.106.1069</w:t>
          </w:r>
          <w:r>
            <w:fldChar w:fldCharType="end"/>
          </w:r>
        </w:p>
      </w:tc>
    </w:tr>
    <w:tr w:rsidR="00395FF2" w:rsidTr="009C1E9A">
      <w:trPr>
        <w:cantSplit/>
      </w:trPr>
      <w:tc>
        <w:tcPr>
          <w:tcW w:w="0" w:type="pct"/>
        </w:tcPr>
        <w:p w:rsidR="00EC379B" w:rsidRDefault="00BA46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46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25388</w:t>
          </w:r>
        </w:p>
      </w:tc>
      <w:tc>
        <w:tcPr>
          <w:tcW w:w="2453" w:type="pct"/>
        </w:tcPr>
        <w:p w:rsidR="00EC379B" w:rsidRDefault="00BA4677" w:rsidP="006D504F">
          <w:pPr>
            <w:pStyle w:val="Footer"/>
            <w:rPr>
              <w:rStyle w:val="PageNumber"/>
            </w:rPr>
          </w:pPr>
        </w:p>
        <w:p w:rsidR="00EC379B" w:rsidRDefault="00BA46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5F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46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A46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46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4677">
      <w:r>
        <w:separator/>
      </w:r>
    </w:p>
  </w:footnote>
  <w:footnote w:type="continuationSeparator" w:id="0">
    <w:p w:rsidR="00000000" w:rsidRDefault="00BA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4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4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4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A48"/>
    <w:multiLevelType w:val="hybridMultilevel"/>
    <w:tmpl w:val="78582B9E"/>
    <w:lvl w:ilvl="0" w:tplc="158C1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8B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22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CE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07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60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46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47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08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27E"/>
    <w:multiLevelType w:val="hybridMultilevel"/>
    <w:tmpl w:val="A33A90F4"/>
    <w:lvl w:ilvl="0" w:tplc="42A4F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88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AF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4C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67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65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0D3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EE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4B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6A5B"/>
    <w:multiLevelType w:val="hybridMultilevel"/>
    <w:tmpl w:val="CE648A82"/>
    <w:lvl w:ilvl="0" w:tplc="9A288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E6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A0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6D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48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C7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64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A9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841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1F2B"/>
    <w:multiLevelType w:val="hybridMultilevel"/>
    <w:tmpl w:val="FE76B1F8"/>
    <w:lvl w:ilvl="0" w:tplc="7DC0B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24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6F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AB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EB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0C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00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46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7ECD"/>
    <w:multiLevelType w:val="hybridMultilevel"/>
    <w:tmpl w:val="8834B036"/>
    <w:lvl w:ilvl="0" w:tplc="E452B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45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A8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87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2D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08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2B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7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A9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2"/>
    <w:rsid w:val="00395FF2"/>
    <w:rsid w:val="00B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532850-81D9-4767-9773-BF6305E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30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33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30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307C"/>
    <w:rPr>
      <w:b/>
      <w:bCs/>
    </w:rPr>
  </w:style>
  <w:style w:type="paragraph" w:styleId="ListParagraph">
    <w:name w:val="List Paragraph"/>
    <w:basedOn w:val="Normal"/>
    <w:uiPriority w:val="34"/>
    <w:qFormat/>
    <w:rsid w:val="0002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5030</Characters>
  <Application>Microsoft Office Word</Application>
  <DocSecurity>4</DocSecurity>
  <Lines>104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HB01335 (Committee Report (Substituted))</vt:lpstr>
    </vt:vector>
  </TitlesOfParts>
  <Company>State of Texas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28132</dc:subject>
  <dc:creator>State of Texas</dc:creator>
  <dc:description>HB 1335 by Price-(H)Public Health (Substitute Document Number: 86R 25388)</dc:description>
  <cp:lastModifiedBy>Erin Conway</cp:lastModifiedBy>
  <cp:revision>2</cp:revision>
  <cp:lastPrinted>2003-11-26T17:21:00Z</cp:lastPrinted>
  <dcterms:created xsi:type="dcterms:W3CDTF">2019-04-19T00:01:00Z</dcterms:created>
  <dcterms:modified xsi:type="dcterms:W3CDTF">2019-04-19T00:01:00Z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19.106.1069</vt:lpwstr>
  </property>
</Properties>
</file>