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86855" w:rsidTr="00345119">
        <w:tc>
          <w:tcPr>
            <w:tcW w:w="9576" w:type="dxa"/>
            <w:noWrap/>
          </w:tcPr>
          <w:p w:rsidR="008423E4" w:rsidRPr="0022177D" w:rsidRDefault="0053769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37692" w:rsidP="008423E4">
      <w:pPr>
        <w:jc w:val="center"/>
      </w:pPr>
    </w:p>
    <w:p w:rsidR="008423E4" w:rsidRPr="00B31F0E" w:rsidRDefault="00537692" w:rsidP="008423E4"/>
    <w:p w:rsidR="008423E4" w:rsidRPr="00742794" w:rsidRDefault="0053769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86855" w:rsidTr="00345119">
        <w:tc>
          <w:tcPr>
            <w:tcW w:w="9576" w:type="dxa"/>
          </w:tcPr>
          <w:p w:rsidR="008423E4" w:rsidRPr="00861995" w:rsidRDefault="00537692" w:rsidP="00345119">
            <w:pPr>
              <w:jc w:val="right"/>
            </w:pPr>
            <w:r>
              <w:t>C.S.H.B. 1342</w:t>
            </w:r>
          </w:p>
        </w:tc>
      </w:tr>
      <w:tr w:rsidR="00786855" w:rsidTr="00345119">
        <w:tc>
          <w:tcPr>
            <w:tcW w:w="9576" w:type="dxa"/>
          </w:tcPr>
          <w:p w:rsidR="008423E4" w:rsidRPr="00861995" w:rsidRDefault="00537692" w:rsidP="003241D4">
            <w:pPr>
              <w:jc w:val="right"/>
            </w:pPr>
            <w:r>
              <w:t xml:space="preserve">By: </w:t>
            </w:r>
            <w:r>
              <w:t>Leach</w:t>
            </w:r>
          </w:p>
        </w:tc>
      </w:tr>
      <w:tr w:rsidR="00786855" w:rsidTr="00345119">
        <w:tc>
          <w:tcPr>
            <w:tcW w:w="9576" w:type="dxa"/>
          </w:tcPr>
          <w:p w:rsidR="008423E4" w:rsidRPr="00861995" w:rsidRDefault="00537692" w:rsidP="00345119">
            <w:pPr>
              <w:jc w:val="right"/>
            </w:pPr>
            <w:r>
              <w:t>Corrections</w:t>
            </w:r>
          </w:p>
        </w:tc>
      </w:tr>
      <w:tr w:rsidR="00786855" w:rsidTr="00345119">
        <w:tc>
          <w:tcPr>
            <w:tcW w:w="9576" w:type="dxa"/>
          </w:tcPr>
          <w:p w:rsidR="008423E4" w:rsidRDefault="00537692" w:rsidP="00554A8F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37692" w:rsidP="008423E4">
      <w:pPr>
        <w:tabs>
          <w:tab w:val="right" w:pos="9360"/>
        </w:tabs>
      </w:pPr>
    </w:p>
    <w:p w:rsidR="008423E4" w:rsidRDefault="00537692" w:rsidP="008423E4"/>
    <w:p w:rsidR="008423E4" w:rsidRDefault="0053769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86855" w:rsidTr="00345119">
        <w:tc>
          <w:tcPr>
            <w:tcW w:w="9576" w:type="dxa"/>
          </w:tcPr>
          <w:p w:rsidR="008423E4" w:rsidRPr="00A8133F" w:rsidRDefault="00537692" w:rsidP="00B610C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37692" w:rsidP="00B610CD"/>
          <w:p w:rsidR="008423E4" w:rsidRDefault="00537692" w:rsidP="00B610CD">
            <w:pPr>
              <w:pStyle w:val="Header"/>
              <w:jc w:val="both"/>
            </w:pPr>
            <w:r>
              <w:t>Concerns have been raised regarding the</w:t>
            </w:r>
            <w:r>
              <w:t xml:space="preserve"> barriers </w:t>
            </w:r>
            <w:r>
              <w:t>to</w:t>
            </w:r>
            <w:r>
              <w:t xml:space="preserve"> </w:t>
            </w:r>
            <w:r>
              <w:t>eligibility</w:t>
            </w:r>
            <w:r>
              <w:t xml:space="preserve"> for an occupational license </w:t>
            </w:r>
            <w:r>
              <w:t>faced by</w:t>
            </w:r>
            <w:r>
              <w:t xml:space="preserve"> </w:t>
            </w:r>
            <w:r>
              <w:t xml:space="preserve">Texans who have </w:t>
            </w:r>
            <w:r>
              <w:t xml:space="preserve">been convicted of an offense </w:t>
            </w:r>
            <w:r>
              <w:t xml:space="preserve">within </w:t>
            </w:r>
            <w:r>
              <w:t>five years of license application</w:t>
            </w:r>
            <w:r>
              <w:t xml:space="preserve">, </w:t>
            </w:r>
            <w:r>
              <w:t xml:space="preserve">regardless of whether the offense is related to the occupation.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1342 </w:t>
            </w:r>
            <w:r>
              <w:t xml:space="preserve">seeks </w:t>
            </w:r>
            <w:r>
              <w:t xml:space="preserve">to enhance </w:t>
            </w:r>
            <w:r>
              <w:t xml:space="preserve">the </w:t>
            </w:r>
            <w:r>
              <w:t xml:space="preserve">opportunities to obtain gainful employment </w:t>
            </w:r>
            <w:r>
              <w:t xml:space="preserve">for </w:t>
            </w:r>
            <w:r>
              <w:t>these individuals</w:t>
            </w:r>
            <w:r>
              <w:t xml:space="preserve"> </w:t>
            </w:r>
            <w:r>
              <w:t xml:space="preserve">who have </w:t>
            </w:r>
            <w:r>
              <w:t>been dischar</w:t>
            </w:r>
            <w:r>
              <w:t xml:space="preserve">ged from the sentence for </w:t>
            </w:r>
            <w:r>
              <w:t>certain</w:t>
            </w:r>
            <w:r>
              <w:t xml:space="preserve"> offense</w:t>
            </w:r>
            <w:r>
              <w:t>s</w:t>
            </w:r>
            <w:r>
              <w:t xml:space="preserve"> by</w:t>
            </w:r>
            <w:r>
              <w:t xml:space="preserve"> prohibiting </w:t>
            </w:r>
            <w:r>
              <w:t xml:space="preserve">licensing </w:t>
            </w:r>
            <w:r>
              <w:t xml:space="preserve">authorities </w:t>
            </w:r>
            <w:r>
              <w:t>from revoking</w:t>
            </w:r>
            <w:r>
              <w:t>, suspending, or denying</w:t>
            </w:r>
            <w:r>
              <w:t xml:space="preserve"> a license when </w:t>
            </w:r>
            <w:r>
              <w:t>the individual's</w:t>
            </w:r>
            <w:r>
              <w:t xml:space="preserve"> offense history does not directly relate to the occupation at hand</w:t>
            </w:r>
            <w:r>
              <w:t xml:space="preserve"> and requiring the authorities</w:t>
            </w:r>
            <w:r>
              <w:t xml:space="preserve"> instead </w:t>
            </w:r>
            <w:r>
              <w:t>t</w:t>
            </w:r>
            <w:r>
              <w:t xml:space="preserve">o consider </w:t>
            </w:r>
            <w:r>
              <w:t xml:space="preserve">whether the crime correlates to the duties and </w:t>
            </w:r>
            <w:r>
              <w:t xml:space="preserve">responsibilities </w:t>
            </w:r>
            <w:r>
              <w:t>of the license sought.</w:t>
            </w:r>
          </w:p>
          <w:p w:rsidR="008423E4" w:rsidRPr="00E26B13" w:rsidRDefault="00537692" w:rsidP="00B610CD">
            <w:pPr>
              <w:rPr>
                <w:b/>
              </w:rPr>
            </w:pPr>
          </w:p>
        </w:tc>
      </w:tr>
      <w:tr w:rsidR="00786855" w:rsidTr="00345119">
        <w:tc>
          <w:tcPr>
            <w:tcW w:w="9576" w:type="dxa"/>
          </w:tcPr>
          <w:p w:rsidR="0017725B" w:rsidRDefault="00537692" w:rsidP="00B610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37692" w:rsidP="00B610CD">
            <w:pPr>
              <w:rPr>
                <w:b/>
                <w:u w:val="single"/>
              </w:rPr>
            </w:pPr>
          </w:p>
          <w:p w:rsidR="00A520FB" w:rsidRPr="00A520FB" w:rsidRDefault="00537692" w:rsidP="00B610CD">
            <w:pPr>
              <w:jc w:val="both"/>
            </w:pPr>
            <w:r>
              <w:t xml:space="preserve">It is the committee's opinion that this bill does not expressly create a criminal offense, increase the punishment for an existing </w:t>
            </w:r>
            <w:r>
              <w:t>criminal offense or category of offenses, or change the eligibility of a person for community supervision, parole, or mandatory supervision.</w:t>
            </w:r>
          </w:p>
          <w:p w:rsidR="0017725B" w:rsidRPr="0017725B" w:rsidRDefault="00537692" w:rsidP="00B610CD">
            <w:pPr>
              <w:rPr>
                <w:b/>
                <w:u w:val="single"/>
              </w:rPr>
            </w:pPr>
          </w:p>
        </w:tc>
      </w:tr>
      <w:tr w:rsidR="00786855" w:rsidTr="00345119">
        <w:tc>
          <w:tcPr>
            <w:tcW w:w="9576" w:type="dxa"/>
          </w:tcPr>
          <w:p w:rsidR="008423E4" w:rsidRPr="00A8133F" w:rsidRDefault="00537692" w:rsidP="00B610C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37692" w:rsidP="00B610CD"/>
          <w:p w:rsidR="00A520FB" w:rsidRDefault="00537692" w:rsidP="00B610C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</w:t>
            </w:r>
            <w:r>
              <w:t>aking authority to a state officer, department, agency, or institution.</w:t>
            </w:r>
          </w:p>
          <w:p w:rsidR="008423E4" w:rsidRPr="00E21FDC" w:rsidRDefault="00537692" w:rsidP="00B610CD">
            <w:pPr>
              <w:rPr>
                <w:b/>
              </w:rPr>
            </w:pPr>
          </w:p>
        </w:tc>
      </w:tr>
      <w:tr w:rsidR="00786855" w:rsidTr="00345119">
        <w:tc>
          <w:tcPr>
            <w:tcW w:w="9576" w:type="dxa"/>
          </w:tcPr>
          <w:p w:rsidR="008423E4" w:rsidRPr="00A8133F" w:rsidRDefault="00537692" w:rsidP="00B610C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37692" w:rsidP="00B610CD"/>
          <w:p w:rsidR="00B64B7E" w:rsidRDefault="00537692" w:rsidP="00B610CD">
            <w:pPr>
              <w:pStyle w:val="Header"/>
              <w:jc w:val="both"/>
            </w:pPr>
            <w:r>
              <w:t>C.S.</w:t>
            </w:r>
            <w:r>
              <w:t>H.B. 1342 amends the Occupations Code to</w:t>
            </w:r>
            <w:r>
              <w:t xml:space="preserve"> </w:t>
            </w:r>
            <w:r>
              <w:t xml:space="preserve">remove </w:t>
            </w:r>
            <w:r>
              <w:t>as</w:t>
            </w:r>
            <w:r>
              <w:t xml:space="preserve"> grounds on which </w:t>
            </w:r>
            <w:r>
              <w:t xml:space="preserve">a licensing authority </w:t>
            </w:r>
            <w:r>
              <w:t xml:space="preserve">may </w:t>
            </w:r>
            <w:r>
              <w:t>suspend or revok</w:t>
            </w:r>
            <w:r>
              <w:t>e</w:t>
            </w:r>
            <w:r>
              <w:t xml:space="preserve"> a license, disqualify a person from receiving a license</w:t>
            </w:r>
            <w:r>
              <w:t>, or deny a person the opportunity to take a licensing examination the person</w:t>
            </w:r>
            <w:r>
              <w:t>'s</w:t>
            </w:r>
            <w:r>
              <w:t xml:space="preserve"> </w:t>
            </w:r>
            <w:r>
              <w:t xml:space="preserve">conviction </w:t>
            </w:r>
            <w:r>
              <w:t xml:space="preserve">of </w:t>
            </w:r>
            <w:r w:rsidRPr="00E87E05">
              <w:t>an offense that does not directly relate to the duties and responsibilities of the licensed occupation and that was committed less than five years before the date</w:t>
            </w:r>
            <w:r w:rsidRPr="00E87E05">
              <w:t xml:space="preserve"> the</w:t>
            </w:r>
            <w:r>
              <w:t xml:space="preserve"> person applies for the license.</w:t>
            </w:r>
            <w:r>
              <w:t xml:space="preserve"> </w:t>
            </w:r>
            <w:r>
              <w:t>The bill</w:t>
            </w:r>
            <w:r>
              <w:t xml:space="preserve"> includes </w:t>
            </w:r>
            <w:r>
              <w:t>as a</w:t>
            </w:r>
            <w:r w:rsidRPr="00A17DAD">
              <w:t xml:space="preserve"> factor </w:t>
            </w:r>
            <w:r>
              <w:t>the</w:t>
            </w:r>
            <w:r w:rsidRPr="00A17DAD">
              <w:t xml:space="preserve"> licensing authority is required to consider in determining whether a criminal conviction directly relates to the duties and responsibilities of a licensed occupation </w:t>
            </w:r>
            <w:r w:rsidRPr="005C68DE">
              <w:t>any correla</w:t>
            </w:r>
            <w:r>
              <w:t>tion</w:t>
            </w:r>
            <w:r>
              <w:t xml:space="preserve"> between the elements of a</w:t>
            </w:r>
            <w:r w:rsidRPr="005C68DE">
              <w:t xml:space="preserve"> crime and the dut</w:t>
            </w:r>
            <w:r>
              <w:t xml:space="preserve">ies and responsibilities of </w:t>
            </w:r>
            <w:r>
              <w:t xml:space="preserve">the </w:t>
            </w:r>
            <w:r w:rsidRPr="005C68DE">
              <w:t>occupation</w:t>
            </w:r>
            <w:r>
              <w:t xml:space="preserve">. </w:t>
            </w:r>
            <w:r>
              <w:t xml:space="preserve">The bill includes </w:t>
            </w:r>
            <w:r>
              <w:t>as</w:t>
            </w:r>
            <w:r w:rsidRPr="001D6943">
              <w:t xml:space="preserve"> </w:t>
            </w:r>
            <w:r>
              <w:t>a</w:t>
            </w:r>
            <w:r w:rsidRPr="001D6943">
              <w:t xml:space="preserve"> </w:t>
            </w:r>
            <w:r w:rsidRPr="001D6943">
              <w:t xml:space="preserve">factor </w:t>
            </w:r>
            <w:r>
              <w:t>a licensing authority</w:t>
            </w:r>
            <w:r>
              <w:t>, if the authority makes such a determination,</w:t>
            </w:r>
            <w:r>
              <w:t xml:space="preserve"> </w:t>
            </w:r>
            <w:r w:rsidRPr="001D6943">
              <w:t xml:space="preserve">is required to consider in determining whether to revoke, suspend, or </w:t>
            </w:r>
            <w:r w:rsidRPr="001D6943">
              <w:t>deny a license</w:t>
            </w:r>
            <w:r>
              <w:t xml:space="preserve"> </w:t>
            </w:r>
            <w:r w:rsidRPr="0090284D">
              <w:t>evidence of the person's compliance with any conditions of community supervision, parole, or mandatory supervision</w:t>
            </w:r>
            <w:r>
              <w:t xml:space="preserve">. The bill removes </w:t>
            </w:r>
            <w:r>
              <w:t xml:space="preserve">from those </w:t>
            </w:r>
            <w:r>
              <w:t>factors t</w:t>
            </w:r>
            <w:r>
              <w:t xml:space="preserve">he specification that </w:t>
            </w:r>
            <w:r w:rsidRPr="00DB4B43">
              <w:t xml:space="preserve">other evidence of the person's fitness </w:t>
            </w:r>
            <w:r>
              <w:t>include</w:t>
            </w:r>
            <w:r>
              <w:t>s</w:t>
            </w:r>
            <w:r>
              <w:t xml:space="preserve"> certain</w:t>
            </w:r>
            <w:r>
              <w:t xml:space="preserve"> </w:t>
            </w:r>
            <w:r>
              <w:t>letters of</w:t>
            </w:r>
            <w:r>
              <w:t xml:space="preserve"> recommendation</w:t>
            </w:r>
            <w:r>
              <w:t xml:space="preserve"> and repeals a requirement that a</w:t>
            </w:r>
            <w:r>
              <w:t xml:space="preserve"> license</w:t>
            </w:r>
            <w:r>
              <w:t xml:space="preserve"> applicant furnish proof </w:t>
            </w:r>
            <w:r>
              <w:t xml:space="preserve">of certain conduct </w:t>
            </w:r>
            <w:r>
              <w:t>in the form required by the licensing authority</w:t>
            </w:r>
            <w:r>
              <w:t>.</w:t>
            </w:r>
            <w:r>
              <w:t xml:space="preserve"> </w:t>
            </w:r>
            <w:r>
              <w:t xml:space="preserve"> </w:t>
            </w:r>
          </w:p>
          <w:p w:rsidR="00B64B7E" w:rsidRDefault="00537692" w:rsidP="00B610CD">
            <w:pPr>
              <w:pStyle w:val="Header"/>
              <w:jc w:val="both"/>
            </w:pPr>
          </w:p>
          <w:p w:rsidR="00B97648" w:rsidRDefault="00537692" w:rsidP="00B610CD">
            <w:pPr>
              <w:pStyle w:val="Header"/>
              <w:jc w:val="both"/>
            </w:pPr>
            <w:r>
              <w:t>C.S.H.B. 1342 makes a person whose license has been revoked by order of the Texas Commission of Licensin</w:t>
            </w:r>
            <w:r>
              <w:t>g and Regulation (TCLR) or the executive director of the Texas Department of Licensing and Regulation (TDLR) eligible to apply for a new license before the first anniversary of the date of the revocation if</w:t>
            </w:r>
            <w:r>
              <w:t xml:space="preserve"> </w:t>
            </w:r>
            <w:r>
              <w:t>the revocation was based solely on the person's f</w:t>
            </w:r>
            <w:r>
              <w:t>ailure to pay an administrative penalty and the person has paid the administrative penalty in full or is paying the administrative penalty under a payment plan with TDLR and is in good standing with respect to that plan.</w:t>
            </w:r>
            <w:r>
              <w:t xml:space="preserve"> </w:t>
            </w:r>
          </w:p>
          <w:p w:rsidR="00B97648" w:rsidRDefault="00537692" w:rsidP="00B610CD">
            <w:pPr>
              <w:pStyle w:val="Header"/>
              <w:jc w:val="both"/>
            </w:pPr>
          </w:p>
          <w:p w:rsidR="00713D7E" w:rsidRDefault="00537692" w:rsidP="00B610CD">
            <w:pPr>
              <w:pStyle w:val="Header"/>
              <w:jc w:val="both"/>
            </w:pPr>
            <w:r>
              <w:t xml:space="preserve">C.S.H.B. 1342 </w:t>
            </w:r>
            <w:r>
              <w:t xml:space="preserve">authorizes TCLR or </w:t>
            </w:r>
            <w:r>
              <w:t xml:space="preserve">the executive director, as an alternative to denying, revoking, suspending, or refusing to issue or renew a license </w:t>
            </w:r>
            <w:r>
              <w:t>if</w:t>
            </w:r>
            <w:r>
              <w:t xml:space="preserve"> the </w:t>
            </w:r>
            <w:r>
              <w:t>person</w:t>
            </w:r>
            <w:r>
              <w:t xml:space="preserve"> </w:t>
            </w:r>
            <w:r>
              <w:t xml:space="preserve">holding or seeking the license received </w:t>
            </w:r>
            <w:r>
              <w:t xml:space="preserve">deferred adjudication for certain offenses, </w:t>
            </w:r>
            <w:r>
              <w:t>based on</w:t>
            </w:r>
            <w:r>
              <w:t xml:space="preserve"> the </w:t>
            </w:r>
            <w:r>
              <w:t>person's</w:t>
            </w:r>
            <w:r>
              <w:t xml:space="preserve"> criminal history</w:t>
            </w:r>
            <w:r>
              <w:t xml:space="preserve"> or </w:t>
            </w:r>
            <w:r>
              <w:t>other information that indicates that the person lacks the honesty, trustworthiness, and integrity to hold a license issued by TDLR</w:t>
            </w:r>
            <w:r>
              <w:t xml:space="preserve">, or </w:t>
            </w:r>
            <w:r>
              <w:t>under statutory provisions relating to the consequences of a criminal</w:t>
            </w:r>
            <w:r>
              <w:t xml:space="preserve"> convic</w:t>
            </w:r>
            <w:r>
              <w:t>tion</w:t>
            </w:r>
            <w:r>
              <w:t>,</w:t>
            </w:r>
            <w:r>
              <w:t xml:space="preserve"> to issue a restricted license to an applicant for </w:t>
            </w:r>
            <w:r>
              <w:t xml:space="preserve">a license under the </w:t>
            </w:r>
            <w:r w:rsidRPr="00713D7E">
              <w:t xml:space="preserve">Air Conditioning and Refrigeration Contractor License Law </w:t>
            </w:r>
            <w:r>
              <w:t xml:space="preserve">or </w:t>
            </w:r>
            <w:r>
              <w:t>T</w:t>
            </w:r>
            <w:r w:rsidRPr="00713D7E">
              <w:t>exas Electrical Safety and Licensing Act</w:t>
            </w:r>
            <w:r>
              <w:t>. The bill authorizes TDLR to impose reasonable conditions on a holder of a restric</w:t>
            </w:r>
            <w:r>
              <w:t>ted license,</w:t>
            </w:r>
            <w:r>
              <w:t xml:space="preserve"> including </w:t>
            </w:r>
            <w:r>
              <w:t xml:space="preserve">requiring the license holder to do </w:t>
            </w:r>
            <w:r>
              <w:t>the following:</w:t>
            </w:r>
          </w:p>
          <w:p w:rsidR="00713D7E" w:rsidRDefault="00537692" w:rsidP="00B610C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limit the scope or location of the license holder's practice;</w:t>
            </w:r>
          </w:p>
          <w:p w:rsidR="00713D7E" w:rsidRDefault="00537692" w:rsidP="00B610C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be supervised; and</w:t>
            </w:r>
          </w:p>
          <w:p w:rsidR="00713D7E" w:rsidRDefault="00537692" w:rsidP="00B610CD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report to TDLR, including notifying </w:t>
            </w:r>
            <w:r>
              <w:t>TDLR</w:t>
            </w:r>
            <w:r>
              <w:t xml:space="preserve"> promptly of any change in the license holder's supervision.</w:t>
            </w:r>
          </w:p>
          <w:p w:rsidR="0090284D" w:rsidRDefault="00537692" w:rsidP="00B610CD">
            <w:pPr>
              <w:pStyle w:val="Header"/>
              <w:spacing w:before="120" w:after="120"/>
              <w:jc w:val="both"/>
            </w:pPr>
            <w:r>
              <w:t xml:space="preserve">The bill authorizes TDLR </w:t>
            </w:r>
            <w:r>
              <w:t>to include on the face of a license and in TDLR records</w:t>
            </w:r>
            <w:r>
              <w:t xml:space="preserve"> a specified statement</w:t>
            </w:r>
            <w:r>
              <w:t xml:space="preserve"> and to use a distinctive design for the restricted license. </w:t>
            </w:r>
            <w:r>
              <w:t xml:space="preserve">The bill </w:t>
            </w:r>
            <w:r>
              <w:t xml:space="preserve">requires </w:t>
            </w:r>
            <w:r>
              <w:t>a license holder who supervises a restricted license</w:t>
            </w:r>
            <w:r>
              <w:t xml:space="preserve"> holder to use </w:t>
            </w:r>
            <w:r w:rsidRPr="004D1BA9">
              <w:t>reasonab</w:t>
            </w:r>
            <w:r w:rsidRPr="004D1BA9">
              <w:t xml:space="preserve">le care to ensure that the license holder complies with any condition imposed under </w:t>
            </w:r>
            <w:r>
              <w:t>these</w:t>
            </w:r>
            <w:r>
              <w:t xml:space="preserve"> provisions</w:t>
            </w:r>
            <w:r>
              <w:t xml:space="preserve"> and authorizes TCLR or the executive director to impose an administrative penalty or other sanction on </w:t>
            </w:r>
            <w:r w:rsidRPr="000A386B">
              <w:t xml:space="preserve">a restricted license </w:t>
            </w:r>
            <w:r>
              <w:t>holder or the supervising licen</w:t>
            </w:r>
            <w:r>
              <w:t xml:space="preserve">se holder for a violation of </w:t>
            </w:r>
            <w:r>
              <w:t>these</w:t>
            </w:r>
            <w:r>
              <w:t xml:space="preserve"> provisions. The bill </w:t>
            </w:r>
            <w:r>
              <w:t>provides for</w:t>
            </w:r>
            <w:r>
              <w:t xml:space="preserve"> the term </w:t>
            </w:r>
            <w:r>
              <w:t xml:space="preserve">of a restricted license </w:t>
            </w:r>
            <w:r>
              <w:t xml:space="preserve">and </w:t>
            </w:r>
            <w:r>
              <w:t>sets out</w:t>
            </w:r>
            <w:r>
              <w:t xml:space="preserve"> provisions relating to the</w:t>
            </w:r>
            <w:r>
              <w:t xml:space="preserve"> </w:t>
            </w:r>
            <w:r>
              <w:t xml:space="preserve">renewal </w:t>
            </w:r>
            <w:r>
              <w:t>and expiration of the license.</w:t>
            </w:r>
            <w:r>
              <w:t xml:space="preserve"> </w:t>
            </w:r>
          </w:p>
          <w:p w:rsidR="00C0594F" w:rsidRDefault="00537692" w:rsidP="00B610CD">
            <w:pPr>
              <w:pStyle w:val="Header"/>
              <w:jc w:val="both"/>
            </w:pPr>
          </w:p>
          <w:p w:rsidR="000F226C" w:rsidRDefault="00537692" w:rsidP="00B610CD">
            <w:pPr>
              <w:pStyle w:val="Header"/>
              <w:jc w:val="both"/>
            </w:pPr>
            <w:r>
              <w:t xml:space="preserve">C.S.H.B. 1342 </w:t>
            </w:r>
            <w:r>
              <w:t xml:space="preserve">authorizes </w:t>
            </w:r>
            <w:r>
              <w:t xml:space="preserve">the </w:t>
            </w:r>
            <w:r>
              <w:t>alternative means of determining or verifyin</w:t>
            </w:r>
            <w:r>
              <w:t xml:space="preserve">g a person's eligibility for a license issued by TDLR to include accepting as sufficient evidence </w:t>
            </w:r>
            <w:r>
              <w:t xml:space="preserve">of </w:t>
            </w:r>
            <w:r>
              <w:t>such</w:t>
            </w:r>
            <w:r>
              <w:t xml:space="preserve"> </w:t>
            </w:r>
            <w:r>
              <w:t xml:space="preserve">eligibility relevant education, training, or experience obtained while the person was imprisoned if the person </w:t>
            </w:r>
            <w:r>
              <w:t xml:space="preserve">meets </w:t>
            </w:r>
            <w:r>
              <w:t>the following</w:t>
            </w:r>
            <w:r>
              <w:t xml:space="preserve"> criteria</w:t>
            </w:r>
            <w:r>
              <w:t xml:space="preserve">: </w:t>
            </w:r>
          </w:p>
          <w:p w:rsidR="000F226C" w:rsidRDefault="00537692" w:rsidP="00B610CD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previous</w:t>
            </w:r>
            <w:r>
              <w:t xml:space="preserve">ly </w:t>
            </w:r>
            <w:r w:rsidRPr="008926AC">
              <w:t>held a license of the same type for which the person is applying and the license was revoked</w:t>
            </w:r>
            <w:r>
              <w:t xml:space="preserve"> on the </w:t>
            </w:r>
            <w:r w:rsidRPr="000F226C">
              <w:t xml:space="preserve">license holder's imprisonment following a felony conviction, felony community supervision revocation, revocation of parole, or revocation of mandatory </w:t>
            </w:r>
            <w:r w:rsidRPr="000F226C">
              <w:t>supervision</w:t>
            </w:r>
            <w:r>
              <w:t>;</w:t>
            </w:r>
            <w:r w:rsidRPr="000F226C">
              <w:t xml:space="preserve"> </w:t>
            </w:r>
            <w:r>
              <w:t xml:space="preserve"> </w:t>
            </w:r>
          </w:p>
          <w:p w:rsidR="000F226C" w:rsidRDefault="00537692" w:rsidP="00B610CD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has </w:t>
            </w:r>
            <w:r>
              <w:t>not been convicted of</w:t>
            </w:r>
            <w:r>
              <w:t>,</w:t>
            </w:r>
            <w:r>
              <w:t xml:space="preserve"> </w:t>
            </w:r>
            <w:r w:rsidRPr="008926AC">
              <w:t>placed on deferred adjudication for, or entered a plea of guilty or nolo contende</w:t>
            </w:r>
            <w:r>
              <w:t>re to certain offenses; and</w:t>
            </w:r>
          </w:p>
          <w:p w:rsidR="00C0594F" w:rsidRDefault="00537692" w:rsidP="00B610CD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while imprisoned maintained a record of good behavior and</w:t>
            </w:r>
            <w:r>
              <w:t xml:space="preserve"> successfully participated in a program acceptab</w:t>
            </w:r>
            <w:r>
              <w:t xml:space="preserve">le to </w:t>
            </w:r>
            <w:r>
              <w:t>TDLR</w:t>
            </w:r>
            <w:r>
              <w:t xml:space="preserve"> to prepare the person for reentry into the workforce in the occupation for which the person seeks a license or</w:t>
            </w:r>
            <w:r>
              <w:t xml:space="preserve"> </w:t>
            </w:r>
            <w:r>
              <w:t>performed work on a regular basis in the occupation for which the person seeks a license.</w:t>
            </w:r>
            <w:r>
              <w:t xml:space="preserve">  </w:t>
            </w:r>
          </w:p>
          <w:p w:rsidR="007902C8" w:rsidRDefault="00537692" w:rsidP="00B610CD">
            <w:pPr>
              <w:rPr>
                <w:b/>
              </w:rPr>
            </w:pPr>
          </w:p>
          <w:p w:rsidR="008F6F1C" w:rsidRDefault="00537692" w:rsidP="00B610CD">
            <w:pPr>
              <w:jc w:val="both"/>
            </w:pPr>
            <w:r>
              <w:t>C.S.</w:t>
            </w:r>
            <w:r>
              <w:t>H.B. 1342 prohibits a licensing autho</w:t>
            </w:r>
            <w:r>
              <w:t xml:space="preserve">rity from denying a person a license or the opportunity to be examined for a license because of the person's prior conviction of an offense unless the authority provides written notice to the person of the </w:t>
            </w:r>
            <w:r>
              <w:t xml:space="preserve">reason for the intended denial </w:t>
            </w:r>
            <w:r>
              <w:t>and allows the pers</w:t>
            </w:r>
            <w:r>
              <w:t>on not less than 30 days to submit any relevant inform</w:t>
            </w:r>
            <w:r>
              <w:t>ation to the authority</w:t>
            </w:r>
            <w:r>
              <w:t>. The bill</w:t>
            </w:r>
            <w:r>
              <w:t xml:space="preserve"> sets out the required content of the notice.</w:t>
            </w:r>
            <w:r>
              <w:t xml:space="preserve"> </w:t>
            </w:r>
            <w:r w:rsidRPr="00DE1CC6">
              <w:t>The bill requires the state auditor</w:t>
            </w:r>
            <w:r>
              <w:t>,</w:t>
            </w:r>
            <w:r w:rsidRPr="00DE1CC6">
              <w:t xml:space="preserve"> in collaboration with licensing authorities,</w:t>
            </w:r>
            <w:r>
              <w:t xml:space="preserve"> </w:t>
            </w:r>
            <w:r w:rsidRPr="00DE1CC6">
              <w:t>to develop</w:t>
            </w:r>
            <w:r>
              <w:t>, not later than September 1, 20</w:t>
            </w:r>
            <w:r>
              <w:t>20,</w:t>
            </w:r>
            <w:r w:rsidRPr="00DE1CC6">
              <w:t xml:space="preserve"> a guide of best pr</w:t>
            </w:r>
            <w:r>
              <w:t>actices for an applicant with a</w:t>
            </w:r>
            <w:r w:rsidRPr="00DE1CC6">
              <w:t xml:space="preserve"> prior conviction to use when applying for a license and to publish the guide on the auditor's website</w:t>
            </w:r>
            <w:r>
              <w:t xml:space="preserve"> and </w:t>
            </w:r>
            <w:r w:rsidRPr="00CE19AB">
              <w:t>include a link to the guide on the authority's website and in each</w:t>
            </w:r>
            <w:r>
              <w:t xml:space="preserve"> required</w:t>
            </w:r>
            <w:r w:rsidRPr="00CE19AB">
              <w:t xml:space="preserve"> notice </w:t>
            </w:r>
            <w:r>
              <w:t>and letter</w:t>
            </w:r>
            <w:r w:rsidRPr="00CE19AB">
              <w:t xml:space="preserve">. </w:t>
            </w:r>
            <w:r>
              <w:t>T</w:t>
            </w:r>
            <w:r>
              <w:t>he bill</w:t>
            </w:r>
            <w:r>
              <w:t xml:space="preserve"> </w:t>
            </w:r>
            <w:r>
              <w:t>specifies that</w:t>
            </w:r>
            <w:r>
              <w:t xml:space="preserve"> the notice </w:t>
            </w:r>
            <w:r>
              <w:t>a licensing</w:t>
            </w:r>
            <w:r w:rsidRPr="008F6F1C">
              <w:t xml:space="preserve"> authority</w:t>
            </w:r>
            <w:r>
              <w:t xml:space="preserve"> is required to give </w:t>
            </w:r>
            <w:r>
              <w:t>if</w:t>
            </w:r>
            <w:r>
              <w:t>,</w:t>
            </w:r>
            <w:r w:rsidRPr="008F6F1C">
              <w:t xml:space="preserve"> because of the person's prior conviction of an offense</w:t>
            </w:r>
            <w:r>
              <w:t xml:space="preserve">, the authority </w:t>
            </w:r>
            <w:r w:rsidRPr="008F6F1C">
              <w:t>suspends or revokes a license</w:t>
            </w:r>
            <w:r>
              <w:t>,</w:t>
            </w:r>
            <w:r w:rsidRPr="008F6F1C">
              <w:t xml:space="preserve"> denies</w:t>
            </w:r>
            <w:r>
              <w:t xml:space="preserve"> </w:t>
            </w:r>
            <w:r w:rsidRPr="008F6F1C">
              <w:t>a license</w:t>
            </w:r>
            <w:r>
              <w:t>,</w:t>
            </w:r>
            <w:r w:rsidRPr="008F6F1C">
              <w:t xml:space="preserve"> or </w:t>
            </w:r>
            <w:r>
              <w:t xml:space="preserve">denies </w:t>
            </w:r>
            <w:r w:rsidRPr="008F6F1C">
              <w:t>the opportunity to be examined for a license</w:t>
            </w:r>
            <w:r>
              <w:t xml:space="preserve"> </w:t>
            </w:r>
            <w:r>
              <w:t xml:space="preserve">includes </w:t>
            </w:r>
            <w:r>
              <w:t>any</w:t>
            </w:r>
            <w:r>
              <w:t xml:space="preserve"> factor</w:t>
            </w:r>
            <w:r>
              <w:t>s</w:t>
            </w:r>
            <w:r>
              <w:t xml:space="preserve"> in determining whether the conviction directly relates to the applicable occupation or </w:t>
            </w:r>
            <w:r>
              <w:t xml:space="preserve">additional factors </w:t>
            </w:r>
            <w:r>
              <w:t xml:space="preserve">for a </w:t>
            </w:r>
            <w:r>
              <w:t>licensing authority</w:t>
            </w:r>
            <w:r>
              <w:t xml:space="preserve"> to consider after determining that the conviction directly relates to the occupation</w:t>
            </w:r>
            <w:r>
              <w:t xml:space="preserve"> that served as the</w:t>
            </w:r>
            <w:r>
              <w:t xml:space="preserve"> basis for the suspension, revocation, denial, or disqualification</w:t>
            </w:r>
            <w:r>
              <w:t xml:space="preserve">. </w:t>
            </w:r>
            <w:r>
              <w:t xml:space="preserve">The bill </w:t>
            </w:r>
            <w:r>
              <w:t>specifies that the required noticed</w:t>
            </w:r>
            <w:r>
              <w:t xml:space="preserve"> </w:t>
            </w:r>
            <w:r>
              <w:t xml:space="preserve">or letter by </w:t>
            </w:r>
            <w:r>
              <w:t>a licensing authority</w:t>
            </w:r>
            <w:r>
              <w:t xml:space="preserve"> of </w:t>
            </w:r>
            <w:r>
              <w:t>the authority</w:t>
            </w:r>
            <w:r>
              <w:t>'s</w:t>
            </w:r>
            <w:r>
              <w:t xml:space="preserve"> </w:t>
            </w:r>
            <w:r>
              <w:t>determination of license eligibility</w:t>
            </w:r>
            <w:r>
              <w:t xml:space="preserve"> </w:t>
            </w:r>
            <w:r>
              <w:t>includes</w:t>
            </w:r>
            <w:r>
              <w:t xml:space="preserve"> any such factor considered that served as t</w:t>
            </w:r>
            <w:r>
              <w:t xml:space="preserve">he basis for </w:t>
            </w:r>
            <w:r>
              <w:t xml:space="preserve">the </w:t>
            </w:r>
            <w:r w:rsidRPr="00CE19AB">
              <w:t>suspension, revocation, denial, or disqualification</w:t>
            </w:r>
            <w:r>
              <w:t xml:space="preserve">. </w:t>
            </w:r>
            <w:r w:rsidRPr="00C974BB">
              <w:t xml:space="preserve">The bill sets out certain legislative </w:t>
            </w:r>
            <w:r>
              <w:t>intent</w:t>
            </w:r>
            <w:r>
              <w:t xml:space="preserve"> and provides for the liberal construction of certain licensing provisions for purposes of that intent</w:t>
            </w:r>
            <w:r w:rsidRPr="00C974BB">
              <w:t>.</w:t>
            </w:r>
            <w:r>
              <w:t xml:space="preserve"> </w:t>
            </w:r>
          </w:p>
          <w:p w:rsidR="007E30A2" w:rsidRDefault="00537692" w:rsidP="00B610CD"/>
          <w:p w:rsidR="007E30A2" w:rsidRPr="007902C8" w:rsidRDefault="00537692" w:rsidP="00B610CD">
            <w:r>
              <w:t>C.S.</w:t>
            </w:r>
            <w:r w:rsidRPr="007E30A2">
              <w:t xml:space="preserve">H.B. 1342 </w:t>
            </w:r>
            <w:r>
              <w:t>repeals Section 53.023</w:t>
            </w:r>
            <w:r>
              <w:t>(c), Occupations Code.</w:t>
            </w:r>
          </w:p>
          <w:p w:rsidR="007902C8" w:rsidRPr="00835628" w:rsidRDefault="00537692" w:rsidP="00B610CD">
            <w:pPr>
              <w:rPr>
                <w:b/>
              </w:rPr>
            </w:pPr>
          </w:p>
        </w:tc>
      </w:tr>
      <w:tr w:rsidR="00786855" w:rsidTr="00345119">
        <w:tc>
          <w:tcPr>
            <w:tcW w:w="9576" w:type="dxa"/>
          </w:tcPr>
          <w:p w:rsidR="008423E4" w:rsidRPr="00A8133F" w:rsidRDefault="00537692" w:rsidP="00B610C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37692" w:rsidP="00B610CD"/>
          <w:p w:rsidR="008423E4" w:rsidRDefault="00537692" w:rsidP="00B610C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2D5757" w:rsidRPr="00E76D77" w:rsidRDefault="00537692" w:rsidP="00B610C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786855" w:rsidTr="00013F14">
        <w:trPr>
          <w:trHeight w:val="4662"/>
        </w:trPr>
        <w:tc>
          <w:tcPr>
            <w:tcW w:w="9576" w:type="dxa"/>
          </w:tcPr>
          <w:p w:rsidR="003241D4" w:rsidRDefault="00537692" w:rsidP="00B610C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2D5757" w:rsidRDefault="00537692" w:rsidP="00B610CD">
            <w:pPr>
              <w:jc w:val="both"/>
            </w:pPr>
          </w:p>
          <w:p w:rsidR="002D5757" w:rsidRDefault="00537692" w:rsidP="00B610CD">
            <w:pPr>
              <w:jc w:val="both"/>
            </w:pPr>
            <w:r>
              <w:t xml:space="preserve">While C.S.H.B. 1342 may differ from the original in minor or nonsubstantive ways, the following summarizes the substantial differences between the </w:t>
            </w:r>
            <w:r>
              <w:t>introduced and committee substitute versions of the bill.</w:t>
            </w:r>
          </w:p>
          <w:p w:rsidR="002D5757" w:rsidRDefault="00537692" w:rsidP="00B610CD">
            <w:pPr>
              <w:jc w:val="both"/>
            </w:pPr>
          </w:p>
          <w:p w:rsidR="00013F14" w:rsidRDefault="00537692" w:rsidP="00B610CD">
            <w:pPr>
              <w:jc w:val="both"/>
            </w:pPr>
            <w:r>
              <w:t>The substitute includes</w:t>
            </w:r>
            <w:r>
              <w:t xml:space="preserve"> provision</w:t>
            </w:r>
            <w:r>
              <w:t>s</w:t>
            </w:r>
            <w:r>
              <w:t xml:space="preserve"> </w:t>
            </w:r>
            <w:r>
              <w:t xml:space="preserve">relating to the eligibility </w:t>
            </w:r>
            <w:r>
              <w:t xml:space="preserve">for a license </w:t>
            </w:r>
            <w:r>
              <w:t>of a person whose license has been revoked</w:t>
            </w:r>
            <w:r>
              <w:t>,</w:t>
            </w:r>
            <w:r>
              <w:t xml:space="preserve"> restricted license</w:t>
            </w:r>
            <w:r>
              <w:t>s</w:t>
            </w:r>
            <w:r>
              <w:t xml:space="preserve"> for </w:t>
            </w:r>
            <w:r w:rsidRPr="001008C4">
              <w:t>an air conditioning and refrigeration contractor lic</w:t>
            </w:r>
            <w:r w:rsidRPr="001008C4">
              <w:t>ense or an electrical contracting license</w:t>
            </w:r>
            <w:r>
              <w:t xml:space="preserve"> and </w:t>
            </w:r>
            <w:r>
              <w:t xml:space="preserve">includes </w:t>
            </w:r>
            <w:r>
              <w:t>the</w:t>
            </w:r>
            <w:r>
              <w:t xml:space="preserve"> alternative means </w:t>
            </w:r>
            <w:r>
              <w:t xml:space="preserve">of </w:t>
            </w:r>
            <w:r>
              <w:t xml:space="preserve">determining </w:t>
            </w:r>
            <w:r>
              <w:t xml:space="preserve">or verifying </w:t>
            </w:r>
            <w:r>
              <w:t xml:space="preserve">a person's eligibility for </w:t>
            </w:r>
            <w:r>
              <w:t>a license</w:t>
            </w:r>
            <w:r>
              <w:t xml:space="preserve"> </w:t>
            </w:r>
            <w:r>
              <w:t xml:space="preserve">issued by TDLR. </w:t>
            </w:r>
          </w:p>
          <w:p w:rsidR="00013F14" w:rsidRDefault="00537692" w:rsidP="00B610CD">
            <w:pPr>
              <w:jc w:val="both"/>
            </w:pPr>
          </w:p>
          <w:p w:rsidR="007B0C44" w:rsidRDefault="00537692" w:rsidP="00B610CD">
            <w:pPr>
              <w:jc w:val="both"/>
            </w:pPr>
            <w:r>
              <w:t>The substitute</w:t>
            </w:r>
            <w:r>
              <w:t xml:space="preserve"> requires the state auditor</w:t>
            </w:r>
            <w:r>
              <w:t>,</w:t>
            </w:r>
            <w:r>
              <w:t xml:space="preserve"> in collaboration with licensing authorities, to </w:t>
            </w:r>
            <w:r>
              <w:t>devel</w:t>
            </w:r>
            <w:r>
              <w:t xml:space="preserve">op </w:t>
            </w:r>
            <w:r>
              <w:t xml:space="preserve">a guide of best practices for an applicant with a prior conviction to use when applying for a license and sets out requirements for the guide. </w:t>
            </w:r>
          </w:p>
          <w:p w:rsidR="007B0C44" w:rsidRDefault="00537692" w:rsidP="00B610CD">
            <w:pPr>
              <w:jc w:val="both"/>
            </w:pPr>
          </w:p>
          <w:p w:rsidR="00013F14" w:rsidRPr="002D5757" w:rsidRDefault="00537692" w:rsidP="00220A28">
            <w:pPr>
              <w:jc w:val="both"/>
            </w:pPr>
            <w:r>
              <w:t xml:space="preserve">The substitute </w:t>
            </w:r>
            <w:r w:rsidRPr="007B0C44">
              <w:t>does not include a requir</w:t>
            </w:r>
            <w:r>
              <w:t xml:space="preserve">ement </w:t>
            </w:r>
            <w:r>
              <w:t>that</w:t>
            </w:r>
            <w:r>
              <w:t xml:space="preserve"> </w:t>
            </w:r>
            <w:r w:rsidRPr="007B0C44">
              <w:t xml:space="preserve">the </w:t>
            </w:r>
            <w:r>
              <w:t>not</w:t>
            </w:r>
            <w:r>
              <w:t>ice</w:t>
            </w:r>
            <w:r>
              <w:t xml:space="preserve"> </w:t>
            </w:r>
            <w:r>
              <w:t xml:space="preserve">by a </w:t>
            </w:r>
            <w:r w:rsidRPr="00073EAA">
              <w:t xml:space="preserve">licensing authority </w:t>
            </w:r>
            <w:r>
              <w:t xml:space="preserve">relating to the </w:t>
            </w:r>
            <w:r w:rsidRPr="00073EAA">
              <w:t>suspe</w:t>
            </w:r>
            <w:r w:rsidRPr="00073EAA">
              <w:t>n</w:t>
            </w:r>
            <w:r>
              <w:t xml:space="preserve">sion, </w:t>
            </w:r>
            <w:r w:rsidRPr="00073EAA">
              <w:t>revo</w:t>
            </w:r>
            <w:r>
              <w:t xml:space="preserve">cation, </w:t>
            </w:r>
            <w:r>
              <w:t xml:space="preserve">or </w:t>
            </w:r>
            <w:r>
              <w:t xml:space="preserve">denial of </w:t>
            </w:r>
            <w:r w:rsidRPr="00073EAA">
              <w:t xml:space="preserve">a license or </w:t>
            </w:r>
            <w:r>
              <w:t xml:space="preserve">the </w:t>
            </w:r>
            <w:r w:rsidRPr="00073EAA">
              <w:t>deni</w:t>
            </w:r>
            <w:r>
              <w:t>al of</w:t>
            </w:r>
            <w:r w:rsidRPr="00073EAA">
              <w:t xml:space="preserve"> the opportunity to be examined for a license</w:t>
            </w:r>
            <w:r>
              <w:t xml:space="preserve"> based a</w:t>
            </w:r>
            <w:r w:rsidRPr="00073EAA">
              <w:t xml:space="preserve"> prior conviction</w:t>
            </w:r>
            <w:r>
              <w:t xml:space="preserve"> include any remedial actions or relevant circumstances the licensing authority would consider in a future determination</w:t>
            </w:r>
            <w:r>
              <w:t xml:space="preserve"> but instead</w:t>
            </w:r>
            <w:r w:rsidRPr="00073EAA">
              <w:t xml:space="preserve"> </w:t>
            </w:r>
            <w:r>
              <w:t>specifies</w:t>
            </w:r>
            <w:r>
              <w:t xml:space="preserve"> </w:t>
            </w:r>
            <w:r w:rsidRPr="007B0C44">
              <w:t>that the notice include any</w:t>
            </w:r>
            <w:r>
              <w:t xml:space="preserve"> </w:t>
            </w:r>
            <w:r>
              <w:t xml:space="preserve">factor considered </w:t>
            </w:r>
            <w:r w:rsidRPr="006A272B">
              <w:t xml:space="preserve">in determining whether the conviction directly relates to the applicable occupation </w:t>
            </w:r>
            <w:r>
              <w:t>that served as the basis for the suspension, revocation, denial, or disqualification</w:t>
            </w:r>
            <w:r w:rsidRPr="00CD1115">
              <w:t>.</w:t>
            </w:r>
          </w:p>
        </w:tc>
      </w:tr>
    </w:tbl>
    <w:p w:rsidR="004108C3" w:rsidRPr="008423E4" w:rsidRDefault="00537692" w:rsidP="00E76D77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37692">
      <w:r>
        <w:separator/>
      </w:r>
    </w:p>
  </w:endnote>
  <w:endnote w:type="continuationSeparator" w:id="0">
    <w:p w:rsidR="00000000" w:rsidRDefault="0053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64" w:rsidRDefault="005376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86855" w:rsidTr="009C1E9A">
      <w:trPr>
        <w:cantSplit/>
      </w:trPr>
      <w:tc>
        <w:tcPr>
          <w:tcW w:w="0" w:type="pct"/>
        </w:tcPr>
        <w:p w:rsidR="00137D90" w:rsidRDefault="0053769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3769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3769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3769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3769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86855" w:rsidTr="009C1E9A">
      <w:trPr>
        <w:cantSplit/>
      </w:trPr>
      <w:tc>
        <w:tcPr>
          <w:tcW w:w="0" w:type="pct"/>
        </w:tcPr>
        <w:p w:rsidR="00EC379B" w:rsidRDefault="0053769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3769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27325</w:t>
          </w:r>
        </w:p>
      </w:tc>
      <w:tc>
        <w:tcPr>
          <w:tcW w:w="2453" w:type="pct"/>
        </w:tcPr>
        <w:p w:rsidR="00EC379B" w:rsidRDefault="0053769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19.105.1361</w:t>
          </w:r>
          <w:r>
            <w:fldChar w:fldCharType="end"/>
          </w:r>
        </w:p>
      </w:tc>
    </w:tr>
    <w:tr w:rsidR="00786855" w:rsidTr="009C1E9A">
      <w:trPr>
        <w:cantSplit/>
      </w:trPr>
      <w:tc>
        <w:tcPr>
          <w:tcW w:w="0" w:type="pct"/>
        </w:tcPr>
        <w:p w:rsidR="00EC379B" w:rsidRDefault="0053769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3769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22345</w:t>
          </w:r>
        </w:p>
      </w:tc>
      <w:tc>
        <w:tcPr>
          <w:tcW w:w="2453" w:type="pct"/>
        </w:tcPr>
        <w:p w:rsidR="00EC379B" w:rsidRDefault="00537692" w:rsidP="006D504F">
          <w:pPr>
            <w:pStyle w:val="Footer"/>
            <w:rPr>
              <w:rStyle w:val="PageNumber"/>
            </w:rPr>
          </w:pPr>
        </w:p>
        <w:p w:rsidR="00EC379B" w:rsidRDefault="0053769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8685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3769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:rsidR="00EC379B" w:rsidRDefault="0053769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3769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64" w:rsidRDefault="00537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37692">
      <w:r>
        <w:separator/>
      </w:r>
    </w:p>
  </w:footnote>
  <w:footnote w:type="continuationSeparator" w:id="0">
    <w:p w:rsidR="00000000" w:rsidRDefault="00537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64" w:rsidRDefault="005376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64" w:rsidRDefault="005376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64" w:rsidRDefault="005376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0F19"/>
    <w:multiLevelType w:val="hybridMultilevel"/>
    <w:tmpl w:val="B7D282B4"/>
    <w:lvl w:ilvl="0" w:tplc="FB24227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2A6591C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E832F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EF845DD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B4239F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78AAAD0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BE88FB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782F6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524854A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21B6F73"/>
    <w:multiLevelType w:val="hybridMultilevel"/>
    <w:tmpl w:val="BDE0D274"/>
    <w:lvl w:ilvl="0" w:tplc="C21C3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7E57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EAB8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3028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2EB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AC42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FC93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2469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3CBA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55"/>
    <w:rsid w:val="00537692"/>
    <w:rsid w:val="0078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3271DF-1DBA-400C-B88B-723E44C9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028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028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0284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2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28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1439</Words>
  <Characters>7886</Characters>
  <Application>Microsoft Office Word</Application>
  <DocSecurity>4</DocSecurity>
  <Lines>143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HB01342 (Committee Report (Substituted))</vt:lpstr>
    </vt:vector>
  </TitlesOfParts>
  <Company>State of Texas</Company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27325</dc:subject>
  <dc:creator>State of Texas</dc:creator>
  <dc:description>HB 1342 by Leach-(H)Corrections (Substitute Document Number: 86R 22345)</dc:description>
  <cp:lastModifiedBy>Laura Ramsay</cp:lastModifiedBy>
  <cp:revision>2</cp:revision>
  <cp:lastPrinted>2003-11-26T17:21:00Z</cp:lastPrinted>
  <dcterms:created xsi:type="dcterms:W3CDTF">2019-04-16T17:34:00Z</dcterms:created>
  <dcterms:modified xsi:type="dcterms:W3CDTF">2019-04-16T17:34:00Z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19.105.1361</vt:lpwstr>
  </property>
</Properties>
</file>