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3D2E" w:rsidTr="00345119">
        <w:tc>
          <w:tcPr>
            <w:tcW w:w="9576" w:type="dxa"/>
            <w:noWrap/>
          </w:tcPr>
          <w:p w:rsidR="008423E4" w:rsidRPr="0022177D" w:rsidRDefault="006957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57EA" w:rsidP="008423E4">
      <w:pPr>
        <w:jc w:val="center"/>
      </w:pPr>
    </w:p>
    <w:p w:rsidR="008423E4" w:rsidRPr="00B31F0E" w:rsidRDefault="006957EA" w:rsidP="008423E4"/>
    <w:p w:rsidR="008423E4" w:rsidRPr="00742794" w:rsidRDefault="006957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3D2E" w:rsidTr="00345119">
        <w:tc>
          <w:tcPr>
            <w:tcW w:w="9576" w:type="dxa"/>
          </w:tcPr>
          <w:p w:rsidR="008423E4" w:rsidRPr="00861995" w:rsidRDefault="006957EA" w:rsidP="00704E76">
            <w:pPr>
              <w:jc w:val="right"/>
            </w:pPr>
            <w:r>
              <w:t>C.S.H.B. 1357</w:t>
            </w:r>
          </w:p>
        </w:tc>
      </w:tr>
      <w:tr w:rsidR="00F53D2E" w:rsidTr="00345119">
        <w:tc>
          <w:tcPr>
            <w:tcW w:w="9576" w:type="dxa"/>
          </w:tcPr>
          <w:p w:rsidR="008423E4" w:rsidRPr="00861995" w:rsidRDefault="006957EA" w:rsidP="008739A3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F53D2E" w:rsidTr="00345119">
        <w:tc>
          <w:tcPr>
            <w:tcW w:w="9576" w:type="dxa"/>
          </w:tcPr>
          <w:p w:rsidR="008423E4" w:rsidRPr="00861995" w:rsidRDefault="006957EA" w:rsidP="00345119">
            <w:pPr>
              <w:jc w:val="right"/>
            </w:pPr>
            <w:r>
              <w:t>Criminal Jurisprudence</w:t>
            </w:r>
          </w:p>
        </w:tc>
      </w:tr>
      <w:tr w:rsidR="00F53D2E" w:rsidTr="00345119">
        <w:tc>
          <w:tcPr>
            <w:tcW w:w="9576" w:type="dxa"/>
          </w:tcPr>
          <w:p w:rsidR="008423E4" w:rsidRDefault="006957E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957EA" w:rsidP="008423E4">
      <w:pPr>
        <w:tabs>
          <w:tab w:val="right" w:pos="9360"/>
        </w:tabs>
      </w:pPr>
    </w:p>
    <w:p w:rsidR="008423E4" w:rsidRDefault="006957EA" w:rsidP="008423E4"/>
    <w:p w:rsidR="008423E4" w:rsidRDefault="006957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3D2E" w:rsidTr="00345119">
        <w:tc>
          <w:tcPr>
            <w:tcW w:w="9576" w:type="dxa"/>
          </w:tcPr>
          <w:p w:rsidR="008423E4" w:rsidRPr="00A8133F" w:rsidRDefault="006957EA" w:rsidP="00400A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57EA" w:rsidP="00400A81"/>
          <w:p w:rsidR="008423E4" w:rsidRDefault="006957EA" w:rsidP="00400A81">
            <w:pPr>
              <w:pStyle w:val="Header"/>
              <w:jc w:val="both"/>
            </w:pPr>
            <w:r>
              <w:t xml:space="preserve">There are concerns that state law does not adequately address </w:t>
            </w:r>
            <w:r>
              <w:t>failure</w:t>
            </w:r>
            <w:r>
              <w:t>s</w:t>
            </w:r>
            <w:r>
              <w:t xml:space="preserve"> to report </w:t>
            </w:r>
            <w:r>
              <w:t>sexual offen</w:t>
            </w:r>
            <w:r>
              <w:t xml:space="preserve">ses committed against a child and </w:t>
            </w:r>
            <w:r>
              <w:t>that</w:t>
            </w:r>
            <w:r>
              <w:t>,</w:t>
            </w:r>
            <w:r>
              <w:t xml:space="preserve"> as a result, children who are the victims of these offenses </w:t>
            </w:r>
            <w:r>
              <w:t>can be</w:t>
            </w:r>
            <w:r>
              <w:t xml:space="preserve"> subject to further abuse. </w:t>
            </w:r>
            <w:r>
              <w:t>C.S.H.B.</w:t>
            </w:r>
            <w:r>
              <w:t xml:space="preserve"> 1357 seeks to address these concerns by </w:t>
            </w:r>
            <w:r>
              <w:t>expanding the conduct that constitutes a failure to report certain sexual offenses committed against a child</w:t>
            </w:r>
            <w:r>
              <w:t xml:space="preserve"> and by increasing penalties</w:t>
            </w:r>
            <w:r>
              <w:t xml:space="preserve"> for </w:t>
            </w:r>
            <w:r>
              <w:t>such conduct</w:t>
            </w:r>
            <w:r>
              <w:t xml:space="preserve">. </w:t>
            </w:r>
          </w:p>
          <w:p w:rsidR="008423E4" w:rsidRPr="00E26B13" w:rsidRDefault="006957EA" w:rsidP="00400A81">
            <w:pPr>
              <w:rPr>
                <w:b/>
              </w:rPr>
            </w:pPr>
          </w:p>
        </w:tc>
      </w:tr>
      <w:tr w:rsidR="00F53D2E" w:rsidTr="00345119">
        <w:tc>
          <w:tcPr>
            <w:tcW w:w="9576" w:type="dxa"/>
          </w:tcPr>
          <w:p w:rsidR="0017725B" w:rsidRDefault="006957EA" w:rsidP="00400A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57EA" w:rsidP="00400A81">
            <w:pPr>
              <w:rPr>
                <w:b/>
                <w:u w:val="single"/>
              </w:rPr>
            </w:pPr>
          </w:p>
          <w:p w:rsidR="00F97ABB" w:rsidRPr="00F97ABB" w:rsidRDefault="006957EA" w:rsidP="00400A81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</w:t>
            </w:r>
            <w:r>
              <w:t>category of offenses, or changes the eligibility of a person for community supervision, parole, or mandatory supervision.</w:t>
            </w:r>
          </w:p>
          <w:p w:rsidR="0017725B" w:rsidRPr="0017725B" w:rsidRDefault="006957EA" w:rsidP="00400A81">
            <w:pPr>
              <w:rPr>
                <w:b/>
                <w:u w:val="single"/>
              </w:rPr>
            </w:pPr>
          </w:p>
        </w:tc>
      </w:tr>
      <w:tr w:rsidR="00F53D2E" w:rsidTr="00345119">
        <w:tc>
          <w:tcPr>
            <w:tcW w:w="9576" w:type="dxa"/>
          </w:tcPr>
          <w:p w:rsidR="008423E4" w:rsidRPr="00A8133F" w:rsidRDefault="006957EA" w:rsidP="00400A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57EA" w:rsidP="00400A81"/>
          <w:p w:rsidR="00EC41E4" w:rsidRDefault="006957EA" w:rsidP="00400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6957EA" w:rsidP="00400A81">
            <w:pPr>
              <w:rPr>
                <w:b/>
              </w:rPr>
            </w:pPr>
          </w:p>
        </w:tc>
      </w:tr>
      <w:tr w:rsidR="00F53D2E" w:rsidTr="00345119">
        <w:tc>
          <w:tcPr>
            <w:tcW w:w="9576" w:type="dxa"/>
          </w:tcPr>
          <w:p w:rsidR="008423E4" w:rsidRPr="00A8133F" w:rsidRDefault="006957EA" w:rsidP="00400A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57EA" w:rsidP="00400A81"/>
          <w:p w:rsidR="00EA7498" w:rsidRDefault="006957EA" w:rsidP="00400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1357 amends the Penal Code to </w:t>
            </w:r>
            <w:r>
              <w:t xml:space="preserve">replace </w:t>
            </w:r>
            <w:r>
              <w:t xml:space="preserve">the </w:t>
            </w:r>
            <w:r>
              <w:t xml:space="preserve">Class A misdemeanor </w:t>
            </w:r>
            <w:r>
              <w:t>offense of failure to stop or report aggravated sexual assault of a child</w:t>
            </w:r>
            <w:r>
              <w:t xml:space="preserve">, which involves </w:t>
            </w:r>
            <w:r>
              <w:t>observing the commission or a</w:t>
            </w:r>
            <w:r>
              <w:t xml:space="preserve">ttempted commission of continuous sexual abuse or aggravated sexual assault of a child younger than 14 years of age and </w:t>
            </w:r>
            <w:r>
              <w:t>fail</w:t>
            </w:r>
            <w:r>
              <w:t>ing</w:t>
            </w:r>
            <w:r>
              <w:t xml:space="preserve"> to assist </w:t>
            </w:r>
            <w:r>
              <w:t>the</w:t>
            </w:r>
            <w:r>
              <w:t xml:space="preserve"> child or report </w:t>
            </w:r>
            <w:r>
              <w:t>the commission of the offense</w:t>
            </w:r>
            <w:r>
              <w:t>,</w:t>
            </w:r>
            <w:r>
              <w:t xml:space="preserve"> with the </w:t>
            </w:r>
            <w:r>
              <w:t xml:space="preserve">state jail felony </w:t>
            </w:r>
            <w:r>
              <w:t>offense of failure to report certain sex</w:t>
            </w:r>
            <w:r>
              <w:t>ual offenses committed against a child</w:t>
            </w:r>
            <w:r>
              <w:t xml:space="preserve">. </w:t>
            </w:r>
            <w:r>
              <w:t xml:space="preserve">The bill makes it </w:t>
            </w:r>
            <w:r>
              <w:t>an</w:t>
            </w:r>
            <w:r>
              <w:t xml:space="preserve"> </w:t>
            </w:r>
            <w:r>
              <w:t xml:space="preserve">offense </w:t>
            </w:r>
            <w:r>
              <w:t>for a</w:t>
            </w:r>
            <w:r>
              <w:t xml:space="preserve"> person</w:t>
            </w:r>
            <w:r>
              <w:t xml:space="preserve"> </w:t>
            </w:r>
            <w:r>
              <w:t xml:space="preserve">18 years of age or older </w:t>
            </w:r>
            <w:r>
              <w:t xml:space="preserve">who </w:t>
            </w:r>
            <w:r>
              <w:t>know</w:t>
            </w:r>
            <w:r>
              <w:t>s</w:t>
            </w:r>
            <w:r>
              <w:t xml:space="preserve"> that another person has committed</w:t>
            </w:r>
            <w:r>
              <w:t xml:space="preserve"> any of the following offenses</w:t>
            </w:r>
            <w:r>
              <w:t xml:space="preserve"> involving certain conduct</w:t>
            </w:r>
            <w:r>
              <w:t xml:space="preserve"> and fails to immediately report the commission of</w:t>
            </w:r>
            <w:r>
              <w:t xml:space="preserve"> the offense to a law enforcement agency or to the Department of Family and Protective Services </w:t>
            </w:r>
            <w:r w:rsidRPr="00EB4698">
              <w:t>(DFPS)</w:t>
            </w:r>
            <w:r>
              <w:t>:</w:t>
            </w:r>
          </w:p>
          <w:p w:rsidR="0051554D" w:rsidRDefault="006957EA" w:rsidP="00400A8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trafficking of persons</w:t>
            </w:r>
            <w:r>
              <w:t>;</w:t>
            </w:r>
          </w:p>
          <w:p w:rsidR="0051554D" w:rsidRDefault="006957EA" w:rsidP="00400A8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continuous tra</w:t>
            </w:r>
            <w:r>
              <w:t>fficking of persons</w:t>
            </w:r>
            <w:r>
              <w:t>;</w:t>
            </w:r>
          </w:p>
          <w:p w:rsidR="00EA7498" w:rsidRDefault="006957EA" w:rsidP="00400A8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continuous sexual abuse of </w:t>
            </w:r>
            <w:r>
              <w:t xml:space="preserve">a </w:t>
            </w:r>
            <w:r>
              <w:t>young child or children;</w:t>
            </w:r>
          </w:p>
          <w:p w:rsidR="0051554D" w:rsidRDefault="006957EA" w:rsidP="00400A8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indecency with a child;</w:t>
            </w:r>
          </w:p>
          <w:p w:rsidR="00EA7498" w:rsidRDefault="006957EA" w:rsidP="00400A8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sexual assault</w:t>
            </w:r>
            <w:r>
              <w:t xml:space="preserve"> of a child</w:t>
            </w:r>
            <w:r>
              <w:t>;</w:t>
            </w:r>
          </w:p>
          <w:p w:rsidR="0051554D" w:rsidRDefault="006957EA" w:rsidP="00400A8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aggravated s</w:t>
            </w:r>
            <w:r>
              <w:t>exual assault of a child</w:t>
            </w:r>
            <w:r>
              <w:t>;</w:t>
            </w:r>
          </w:p>
          <w:p w:rsidR="00CF7122" w:rsidRDefault="006957EA" w:rsidP="00400A8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compelling prostitution; or</w:t>
            </w:r>
          </w:p>
          <w:p w:rsidR="006D4D8F" w:rsidRDefault="006957EA" w:rsidP="00400A8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sexual performance by a child.</w:t>
            </w:r>
          </w:p>
          <w:p w:rsidR="006D4D8F" w:rsidRDefault="006957EA" w:rsidP="00400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E4383" w:rsidRDefault="006957EA" w:rsidP="00400A81">
            <w:pPr>
              <w:pStyle w:val="Header"/>
              <w:jc w:val="both"/>
            </w:pPr>
            <w:r>
              <w:t>C.S.H.B.</w:t>
            </w:r>
            <w:r w:rsidRPr="006D4D8F">
              <w:t xml:space="preserve"> 1357 </w:t>
            </w:r>
            <w:r>
              <w:t xml:space="preserve">enhances the penalty </w:t>
            </w:r>
            <w:r>
              <w:t xml:space="preserve">for failure to report certain sexual offenses committed against a child </w:t>
            </w:r>
            <w:r>
              <w:t xml:space="preserve">to a third degree felony if it is </w:t>
            </w:r>
            <w:r>
              <w:t>shown at the trial of the offense that the actor also engaged in conduct intended to hinder the investigation or prosecution of the sexual offense against a child</w:t>
            </w:r>
            <w:r>
              <w:t xml:space="preserve"> and sets out specified examples of that conduct</w:t>
            </w:r>
            <w:r>
              <w:t>.</w:t>
            </w:r>
            <w:r>
              <w:t xml:space="preserve"> </w:t>
            </w:r>
            <w:r>
              <w:t>The bill enhances the penalty to a second de</w:t>
            </w:r>
            <w:r>
              <w:t xml:space="preserve">gree felony if the actor engaged in </w:t>
            </w:r>
            <w:r>
              <w:t xml:space="preserve">that </w:t>
            </w:r>
            <w:r>
              <w:t>conduct</w:t>
            </w:r>
            <w:r>
              <w:t>,</w:t>
            </w:r>
            <w:r>
              <w:t xml:space="preserve"> the person </w:t>
            </w:r>
            <w:r w:rsidRPr="00DA2C78">
              <w:t xml:space="preserve">who committed the sexual offense against a child commits a subsequent </w:t>
            </w:r>
            <w:r>
              <w:t>sexual offense against a child</w:t>
            </w:r>
            <w:r>
              <w:t>,</w:t>
            </w:r>
            <w:r>
              <w:t xml:space="preserve"> </w:t>
            </w:r>
            <w:r w:rsidRPr="00DA2C78">
              <w:t>and</w:t>
            </w:r>
            <w:r>
              <w:t xml:space="preserve"> </w:t>
            </w:r>
            <w:r w:rsidRPr="00DA2C78">
              <w:t>the actor's failure to report the sexual offense against a child enabled or facilitated t</w:t>
            </w:r>
            <w:r w:rsidRPr="00DA2C78">
              <w:t>he person's commission of the subsequent offense</w:t>
            </w:r>
            <w:r>
              <w:t>.</w:t>
            </w:r>
            <w:r>
              <w:t xml:space="preserve"> The bill establishes that an actor is presumed to have known that another person has committed a sexual offense against a child if</w:t>
            </w:r>
            <w:r>
              <w:t xml:space="preserve"> </w:t>
            </w:r>
            <w:r>
              <w:t>the child tells the actor that the other person has engaged in conduct that</w:t>
            </w:r>
            <w:r>
              <w:t xml:space="preserve"> constitutes </w:t>
            </w:r>
            <w:r>
              <w:t xml:space="preserve">an </w:t>
            </w:r>
            <w:r>
              <w:t xml:space="preserve">applicable </w:t>
            </w:r>
            <w:r>
              <w:t xml:space="preserve">offense or if </w:t>
            </w:r>
            <w:r>
              <w:t xml:space="preserve">the actor engaged in conduct </w:t>
            </w:r>
            <w:r w:rsidRPr="000B5C79">
              <w:t>intended to hinder the investigation or prosecution of the offense</w:t>
            </w:r>
            <w:r>
              <w:t>.</w:t>
            </w:r>
          </w:p>
          <w:p w:rsidR="000B5C79" w:rsidRDefault="006957EA" w:rsidP="00400A81">
            <w:pPr>
              <w:pStyle w:val="Header"/>
              <w:jc w:val="both"/>
            </w:pPr>
          </w:p>
          <w:p w:rsidR="00DA2C78" w:rsidRDefault="006957EA" w:rsidP="00400A81">
            <w:pPr>
              <w:pStyle w:val="Header"/>
              <w:jc w:val="both"/>
            </w:pPr>
            <w:r>
              <w:t>C.S.H.B.</w:t>
            </w:r>
            <w:r w:rsidRPr="006D4D8F">
              <w:t xml:space="preserve"> 1357 </w:t>
            </w:r>
            <w:r>
              <w:t xml:space="preserve">establishes as a defense to prosecution for </w:t>
            </w:r>
            <w:r w:rsidRPr="006D4D8F">
              <w:t xml:space="preserve">failure to report </w:t>
            </w:r>
            <w:r>
              <w:t xml:space="preserve">certain </w:t>
            </w:r>
            <w:r>
              <w:t>sexual offenses committed against</w:t>
            </w:r>
            <w:r w:rsidRPr="006D4D8F">
              <w:t xml:space="preserve"> a child</w:t>
            </w:r>
            <w:r>
              <w:t xml:space="preserve"> that </w:t>
            </w:r>
            <w:r w:rsidRPr="006D4D8F">
              <w:t>the actor complied with a duty to report the sexual offense against a child to a law enforcement agency or to DFPS as required by other law.</w:t>
            </w:r>
            <w:r>
              <w:t xml:space="preserve"> </w:t>
            </w:r>
            <w:r>
              <w:t xml:space="preserve">The bill establishes as an affirmative defense to prosecution for </w:t>
            </w:r>
            <w:r>
              <w:t xml:space="preserve">such </w:t>
            </w:r>
            <w:r>
              <w:t xml:space="preserve">failure to report that </w:t>
            </w:r>
            <w:r w:rsidRPr="004973B0">
              <w:t>the act</w:t>
            </w:r>
            <w:r w:rsidRPr="004973B0">
              <w:t>or promptly reported the sexual offense against a child to a</w:t>
            </w:r>
            <w:r>
              <w:t>n applicable</w:t>
            </w:r>
            <w:r w:rsidRPr="004973B0">
              <w:t xml:space="preserve"> professional</w:t>
            </w:r>
            <w:r>
              <w:t xml:space="preserve"> required to report the abuse or neglect of a child </w:t>
            </w:r>
            <w:r w:rsidRPr="004973B0">
              <w:t>or to a family violence center</w:t>
            </w:r>
            <w:r>
              <w:t>.</w:t>
            </w:r>
            <w:r>
              <w:t xml:space="preserve"> The bill </w:t>
            </w:r>
            <w:r>
              <w:t>exempts from</w:t>
            </w:r>
            <w:r>
              <w:t xml:space="preserve"> the application of the offense </w:t>
            </w:r>
            <w:r>
              <w:t xml:space="preserve">of </w:t>
            </w:r>
            <w:r w:rsidRPr="00952B2A">
              <w:t xml:space="preserve">failure to report </w:t>
            </w:r>
            <w:r>
              <w:t xml:space="preserve">certain </w:t>
            </w:r>
            <w:r w:rsidRPr="00952B2A">
              <w:t>sexual offenses committed against a child</w:t>
            </w:r>
            <w:r>
              <w:t xml:space="preserve"> </w:t>
            </w:r>
            <w:r>
              <w:t xml:space="preserve">an </w:t>
            </w:r>
            <w:r w:rsidRPr="00282349">
              <w:t xml:space="preserve">actor </w:t>
            </w:r>
            <w:r>
              <w:t xml:space="preserve">who </w:t>
            </w:r>
            <w:r w:rsidRPr="00282349">
              <w:t>was a victim of any offense committed by the person who the actor knows has committed the sexual offense against a child.</w:t>
            </w:r>
            <w:r>
              <w:t xml:space="preserve"> </w:t>
            </w:r>
            <w:r>
              <w:t xml:space="preserve">If the conduct that constitutes an offense of failure to report certain sexual </w:t>
            </w:r>
            <w:r>
              <w:t xml:space="preserve">offense committed against a child under the bill's provisions also </w:t>
            </w:r>
            <w:r>
              <w:t xml:space="preserve">constitutes </w:t>
            </w:r>
            <w:r>
              <w:t>an offense under another law, the actor may be prosecuted under the bill's provisions, the other law, or both the bill's provisions and the other law.</w:t>
            </w:r>
            <w:r>
              <w:t xml:space="preserve"> </w:t>
            </w:r>
          </w:p>
          <w:p w:rsidR="008423E4" w:rsidRPr="00835628" w:rsidRDefault="006957EA" w:rsidP="00400A81">
            <w:pPr>
              <w:rPr>
                <w:b/>
              </w:rPr>
            </w:pPr>
          </w:p>
        </w:tc>
      </w:tr>
      <w:tr w:rsidR="00F53D2E" w:rsidTr="00345119">
        <w:tc>
          <w:tcPr>
            <w:tcW w:w="9576" w:type="dxa"/>
          </w:tcPr>
          <w:p w:rsidR="008423E4" w:rsidRPr="00A8133F" w:rsidRDefault="006957EA" w:rsidP="00400A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57EA" w:rsidP="00400A81"/>
          <w:p w:rsidR="008423E4" w:rsidRPr="003624F2" w:rsidRDefault="006957EA" w:rsidP="00400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2019.</w:t>
            </w:r>
          </w:p>
          <w:p w:rsidR="008423E4" w:rsidRPr="00233FDB" w:rsidRDefault="006957EA" w:rsidP="00400A81">
            <w:pPr>
              <w:rPr>
                <w:b/>
              </w:rPr>
            </w:pPr>
          </w:p>
        </w:tc>
      </w:tr>
      <w:tr w:rsidR="00F53D2E" w:rsidTr="00345119">
        <w:tc>
          <w:tcPr>
            <w:tcW w:w="9576" w:type="dxa"/>
          </w:tcPr>
          <w:p w:rsidR="008739A3" w:rsidRDefault="006957EA" w:rsidP="00400A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A1E20" w:rsidRDefault="006957EA" w:rsidP="00400A81">
            <w:pPr>
              <w:jc w:val="both"/>
            </w:pPr>
          </w:p>
          <w:p w:rsidR="00CA1E20" w:rsidRDefault="006957EA" w:rsidP="00400A81">
            <w:pPr>
              <w:jc w:val="both"/>
            </w:pPr>
            <w:r>
              <w:t xml:space="preserve">While C.S.H.B. 1357 may differ from the original in minor or nonsubstantive ways, the following summarizes the substantial differences between the introduced and committee substitute versions of the </w:t>
            </w:r>
            <w:r>
              <w:t>bill.</w:t>
            </w:r>
          </w:p>
          <w:p w:rsidR="00CA1E20" w:rsidRDefault="006957EA" w:rsidP="00400A81">
            <w:pPr>
              <w:jc w:val="both"/>
            </w:pPr>
          </w:p>
          <w:p w:rsidR="00CA1E20" w:rsidRDefault="006957EA" w:rsidP="00400A81">
            <w:pPr>
              <w:jc w:val="both"/>
            </w:pPr>
            <w:r>
              <w:t xml:space="preserve">The substitute includes </w:t>
            </w:r>
            <w:r>
              <w:t xml:space="preserve">the following offenses among the offenses involving sexual conduct committed against a child for which failure to report constitutes </w:t>
            </w:r>
            <w:r>
              <w:t xml:space="preserve">an </w:t>
            </w:r>
            <w:r>
              <w:t>offense under the bill's provisions</w:t>
            </w:r>
            <w:r>
              <w:t>:</w:t>
            </w:r>
          </w:p>
          <w:p w:rsidR="00CA1E20" w:rsidRDefault="006957EA" w:rsidP="00400A8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trafficking of persons;</w:t>
            </w:r>
          </w:p>
          <w:p w:rsidR="00CA1E20" w:rsidRDefault="006957EA" w:rsidP="00400A8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continuous trafficking of pe</w:t>
            </w:r>
            <w:r>
              <w:t>rsons;</w:t>
            </w:r>
          </w:p>
          <w:p w:rsidR="00CA1E20" w:rsidRDefault="006957EA" w:rsidP="00400A8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compelling prostitution; </w:t>
            </w:r>
            <w:r>
              <w:t>and</w:t>
            </w:r>
          </w:p>
          <w:p w:rsidR="00CA1E20" w:rsidRDefault="006957EA" w:rsidP="00400A8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sexual performance by a child.</w:t>
            </w:r>
          </w:p>
          <w:p w:rsidR="00CA1E20" w:rsidRDefault="006957EA" w:rsidP="00400A81">
            <w:pPr>
              <w:pStyle w:val="ListParagraph"/>
              <w:spacing w:before="120" w:after="120"/>
              <w:jc w:val="both"/>
            </w:pPr>
          </w:p>
          <w:p w:rsidR="003660C3" w:rsidRDefault="006957EA" w:rsidP="00400A81">
            <w:pPr>
              <w:spacing w:before="120" w:after="120"/>
              <w:jc w:val="both"/>
            </w:pPr>
            <w:r>
              <w:t>The substitute, with regard to the conduct that constitute</w:t>
            </w:r>
            <w:r>
              <w:t>s the offense of failure to report certain sexual offenses committed against a child</w:t>
            </w:r>
            <w:r>
              <w:t>:</w:t>
            </w:r>
          </w:p>
          <w:p w:rsidR="00C911C3" w:rsidRDefault="006957EA" w:rsidP="00400A8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specifies that the age of an actor whose con</w:t>
            </w:r>
            <w:r>
              <w:t>duct constitutes the offense is 18 years of age or older;</w:t>
            </w:r>
            <w:r>
              <w:t xml:space="preserve"> </w:t>
            </w:r>
          </w:p>
          <w:p w:rsidR="009F26FF" w:rsidRDefault="006957EA" w:rsidP="00400A8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does not include a person's having reason to believe that another person has committed a sexual offense against a child among the conduct that constitutes the offense;</w:t>
            </w:r>
            <w:r>
              <w:t xml:space="preserve"> and</w:t>
            </w:r>
          </w:p>
          <w:p w:rsidR="00C911C3" w:rsidRDefault="006957EA" w:rsidP="00400A8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does not include, for </w:t>
            </w:r>
            <w:r>
              <w:t>purposes of the enhancement of the offense to a felony of the third degree, that the actor engaged in conduct intended to hinder the investigation or prosecution of the sexual offense against a child by providing misleading information.</w:t>
            </w:r>
          </w:p>
          <w:p w:rsidR="00625F14" w:rsidRDefault="006957EA" w:rsidP="00400A81">
            <w:pPr>
              <w:spacing w:before="120" w:after="120"/>
              <w:jc w:val="both"/>
            </w:pPr>
          </w:p>
          <w:p w:rsidR="00662C99" w:rsidRDefault="006957EA" w:rsidP="00400A81">
            <w:pPr>
              <w:spacing w:before="120" w:after="120"/>
              <w:jc w:val="both"/>
            </w:pPr>
            <w:r>
              <w:t>The substitute inc</w:t>
            </w:r>
            <w:r>
              <w:t>ludes provisions:</w:t>
            </w:r>
          </w:p>
          <w:p w:rsidR="00662C99" w:rsidRDefault="006957EA" w:rsidP="00400A8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establishing the circumstances under which an actor is presumed to have known that another person committed a sexual offense against a child;</w:t>
            </w:r>
          </w:p>
          <w:p w:rsidR="00662C99" w:rsidRDefault="006957EA" w:rsidP="00400A8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establishing an affirmative defense to </w:t>
            </w:r>
            <w:r w:rsidRPr="00625F14">
              <w:t xml:space="preserve">prosecution for </w:t>
            </w:r>
            <w:r>
              <w:t>the</w:t>
            </w:r>
            <w:r>
              <w:t xml:space="preserve"> </w:t>
            </w:r>
            <w:r>
              <w:t>offense</w:t>
            </w:r>
            <w:r>
              <w:t>;</w:t>
            </w:r>
            <w:r>
              <w:t xml:space="preserve"> and</w:t>
            </w:r>
          </w:p>
          <w:p w:rsidR="00625F14" w:rsidRDefault="006957EA" w:rsidP="00400A8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exempting from </w:t>
            </w:r>
            <w:r w:rsidRPr="00625F14">
              <w:t xml:space="preserve">the </w:t>
            </w:r>
            <w:r w:rsidRPr="00625F14">
              <w:t>application of the offense</w:t>
            </w:r>
            <w:r>
              <w:t xml:space="preserve"> an</w:t>
            </w:r>
            <w:r w:rsidRPr="00625F14">
              <w:t xml:space="preserve"> actor </w:t>
            </w:r>
            <w:r>
              <w:t xml:space="preserve">who </w:t>
            </w:r>
            <w:r w:rsidRPr="00625F14">
              <w:t>was a victim of any offense committed by the person who the actor knows has committed the sexual offense against a child.</w:t>
            </w:r>
          </w:p>
          <w:p w:rsidR="00CA1E20" w:rsidRPr="00CA1E20" w:rsidRDefault="006957EA" w:rsidP="00400A81">
            <w:pPr>
              <w:jc w:val="both"/>
            </w:pPr>
          </w:p>
        </w:tc>
      </w:tr>
      <w:tr w:rsidR="00F53D2E" w:rsidTr="00345119">
        <w:tc>
          <w:tcPr>
            <w:tcW w:w="9576" w:type="dxa"/>
          </w:tcPr>
          <w:p w:rsidR="008739A3" w:rsidRPr="009C1E9A" w:rsidRDefault="006957EA" w:rsidP="00400A81">
            <w:pPr>
              <w:rPr>
                <w:b/>
                <w:u w:val="single"/>
              </w:rPr>
            </w:pPr>
          </w:p>
        </w:tc>
      </w:tr>
      <w:tr w:rsidR="00F53D2E" w:rsidTr="00345119">
        <w:tc>
          <w:tcPr>
            <w:tcW w:w="9576" w:type="dxa"/>
          </w:tcPr>
          <w:p w:rsidR="008739A3" w:rsidRPr="008739A3" w:rsidRDefault="006957EA" w:rsidP="00400A81">
            <w:pPr>
              <w:jc w:val="both"/>
            </w:pPr>
          </w:p>
        </w:tc>
      </w:tr>
    </w:tbl>
    <w:p w:rsidR="008423E4" w:rsidRPr="00BE0E75" w:rsidRDefault="006957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57E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57EA">
      <w:r>
        <w:separator/>
      </w:r>
    </w:p>
  </w:endnote>
  <w:endnote w:type="continuationSeparator" w:id="0">
    <w:p w:rsidR="00000000" w:rsidRDefault="006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5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3D2E" w:rsidTr="009C1E9A">
      <w:trPr>
        <w:cantSplit/>
      </w:trPr>
      <w:tc>
        <w:tcPr>
          <w:tcW w:w="0" w:type="pct"/>
        </w:tcPr>
        <w:p w:rsidR="00137D90" w:rsidRDefault="006957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57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57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57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57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3D2E" w:rsidTr="009C1E9A">
      <w:trPr>
        <w:cantSplit/>
      </w:trPr>
      <w:tc>
        <w:tcPr>
          <w:tcW w:w="0" w:type="pct"/>
        </w:tcPr>
        <w:p w:rsidR="00EC379B" w:rsidRDefault="006957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57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28203</w:t>
          </w:r>
        </w:p>
      </w:tc>
      <w:tc>
        <w:tcPr>
          <w:tcW w:w="2453" w:type="pct"/>
        </w:tcPr>
        <w:p w:rsidR="00EC379B" w:rsidRDefault="006957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19.107.1681</w:t>
          </w:r>
          <w:r>
            <w:fldChar w:fldCharType="end"/>
          </w:r>
        </w:p>
      </w:tc>
    </w:tr>
    <w:tr w:rsidR="00F53D2E" w:rsidTr="009C1E9A">
      <w:trPr>
        <w:cantSplit/>
      </w:trPr>
      <w:tc>
        <w:tcPr>
          <w:tcW w:w="0" w:type="pct"/>
        </w:tcPr>
        <w:p w:rsidR="00EC379B" w:rsidRDefault="006957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57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23245</w:t>
          </w:r>
        </w:p>
      </w:tc>
      <w:tc>
        <w:tcPr>
          <w:tcW w:w="2453" w:type="pct"/>
        </w:tcPr>
        <w:p w:rsidR="00EC379B" w:rsidRDefault="006957EA" w:rsidP="006D504F">
          <w:pPr>
            <w:pStyle w:val="Footer"/>
            <w:rPr>
              <w:rStyle w:val="PageNumber"/>
            </w:rPr>
          </w:pPr>
        </w:p>
        <w:p w:rsidR="00EC379B" w:rsidRDefault="006957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3D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57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6957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57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57EA">
      <w:r>
        <w:separator/>
      </w:r>
    </w:p>
  </w:footnote>
  <w:footnote w:type="continuationSeparator" w:id="0">
    <w:p w:rsidR="00000000" w:rsidRDefault="0069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5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5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5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32B"/>
    <w:multiLevelType w:val="hybridMultilevel"/>
    <w:tmpl w:val="4E80E740"/>
    <w:lvl w:ilvl="0" w:tplc="3F2613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83683F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E26E5A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B920C1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0501C6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BC4225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ACCB5C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D69F9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94CC33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C22990"/>
    <w:multiLevelType w:val="hybridMultilevel"/>
    <w:tmpl w:val="E488BA82"/>
    <w:lvl w:ilvl="0" w:tplc="EDB4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0C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A5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42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8C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66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49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A4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A1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5A4"/>
    <w:multiLevelType w:val="hybridMultilevel"/>
    <w:tmpl w:val="072A4D4C"/>
    <w:lvl w:ilvl="0" w:tplc="87A69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4F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43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81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68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82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C2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09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05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03D8"/>
    <w:multiLevelType w:val="hybridMultilevel"/>
    <w:tmpl w:val="508EDE32"/>
    <w:lvl w:ilvl="0" w:tplc="10421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21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E9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42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80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4C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6D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26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A8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E"/>
    <w:rsid w:val="006957EA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CB0FD-3824-4FC9-8727-68E0D772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0D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D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D82"/>
    <w:rPr>
      <w:b/>
      <w:bCs/>
    </w:rPr>
  </w:style>
  <w:style w:type="paragraph" w:styleId="Revision">
    <w:name w:val="Revision"/>
    <w:hidden/>
    <w:uiPriority w:val="99"/>
    <w:semiHidden/>
    <w:rsid w:val="007E3AC0"/>
    <w:rPr>
      <w:sz w:val="24"/>
      <w:szCs w:val="24"/>
    </w:rPr>
  </w:style>
  <w:style w:type="character" w:styleId="Hyperlink">
    <w:name w:val="Hyperlink"/>
    <w:basedOn w:val="DefaultParagraphFont"/>
    <w:unhideWhenUsed/>
    <w:rsid w:val="00EA7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E2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E0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5046</Characters>
  <Application>Microsoft Office Word</Application>
  <DocSecurity>4</DocSecurity>
  <Lines>115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HB01357 (Committee Report (Substituted))</vt:lpstr>
    </vt:vector>
  </TitlesOfParts>
  <Company>State of Texas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28203</dc:subject>
  <dc:creator>State of Texas</dc:creator>
  <dc:description>HB 1357 by Wu-(H)Criminal Jurisprudence (Substitute Document Number: 86R 23245)</dc:description>
  <cp:lastModifiedBy>Scotty Wimberley</cp:lastModifiedBy>
  <cp:revision>2</cp:revision>
  <cp:lastPrinted>2003-11-26T17:21:00Z</cp:lastPrinted>
  <dcterms:created xsi:type="dcterms:W3CDTF">2019-04-25T19:32:00Z</dcterms:created>
  <dcterms:modified xsi:type="dcterms:W3CDTF">2019-04-25T19:32:00Z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19.107.1681</vt:lpwstr>
  </property>
</Properties>
</file>