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E41EC" w:rsidTr="00345119">
        <w:tc>
          <w:tcPr>
            <w:tcW w:w="9576" w:type="dxa"/>
            <w:noWrap/>
          </w:tcPr>
          <w:p w:rsidR="008423E4" w:rsidRPr="0022177D" w:rsidRDefault="009A4E6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A4E66" w:rsidP="008423E4">
      <w:pPr>
        <w:jc w:val="center"/>
      </w:pPr>
    </w:p>
    <w:p w:rsidR="008423E4" w:rsidRPr="00B31F0E" w:rsidRDefault="009A4E66" w:rsidP="008423E4"/>
    <w:p w:rsidR="008423E4" w:rsidRPr="00742794" w:rsidRDefault="009A4E6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E41EC" w:rsidTr="00345119">
        <w:tc>
          <w:tcPr>
            <w:tcW w:w="9576" w:type="dxa"/>
          </w:tcPr>
          <w:p w:rsidR="008423E4" w:rsidRPr="00861995" w:rsidRDefault="009A4E66" w:rsidP="00345119">
            <w:pPr>
              <w:jc w:val="right"/>
            </w:pPr>
            <w:r>
              <w:t>C.S.H.B. 1359</w:t>
            </w:r>
          </w:p>
        </w:tc>
      </w:tr>
      <w:tr w:rsidR="00FE41EC" w:rsidTr="00345119">
        <w:tc>
          <w:tcPr>
            <w:tcW w:w="9576" w:type="dxa"/>
          </w:tcPr>
          <w:p w:rsidR="008423E4" w:rsidRPr="00861995" w:rsidRDefault="009A4E66" w:rsidP="00E37848">
            <w:pPr>
              <w:jc w:val="right"/>
            </w:pPr>
            <w:r>
              <w:t xml:space="preserve">By: </w:t>
            </w:r>
            <w:r>
              <w:t>Wu</w:t>
            </w:r>
          </w:p>
        </w:tc>
      </w:tr>
      <w:tr w:rsidR="00FE41EC" w:rsidTr="00345119">
        <w:tc>
          <w:tcPr>
            <w:tcW w:w="9576" w:type="dxa"/>
          </w:tcPr>
          <w:p w:rsidR="008423E4" w:rsidRPr="00861995" w:rsidRDefault="009A4E66" w:rsidP="00345119">
            <w:pPr>
              <w:jc w:val="right"/>
            </w:pPr>
            <w:r>
              <w:t>Judiciary &amp; Civil Jurisprudence</w:t>
            </w:r>
          </w:p>
        </w:tc>
      </w:tr>
      <w:tr w:rsidR="00FE41EC" w:rsidTr="00345119">
        <w:tc>
          <w:tcPr>
            <w:tcW w:w="9576" w:type="dxa"/>
          </w:tcPr>
          <w:p w:rsidR="008423E4" w:rsidRDefault="009A4E66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9A4E66" w:rsidP="008423E4">
      <w:pPr>
        <w:tabs>
          <w:tab w:val="right" w:pos="9360"/>
        </w:tabs>
      </w:pPr>
    </w:p>
    <w:p w:rsidR="008423E4" w:rsidRDefault="009A4E66" w:rsidP="008423E4"/>
    <w:p w:rsidR="008423E4" w:rsidRDefault="009A4E6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E41EC" w:rsidTr="00345119">
        <w:tc>
          <w:tcPr>
            <w:tcW w:w="9576" w:type="dxa"/>
          </w:tcPr>
          <w:p w:rsidR="008423E4" w:rsidRPr="00A8133F" w:rsidRDefault="009A4E66" w:rsidP="00F25E16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A4E66" w:rsidP="00F25E16"/>
          <w:p w:rsidR="008423E4" w:rsidRDefault="009A4E66" w:rsidP="00F25E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while practicing attorneys </w:t>
            </w:r>
            <w:r>
              <w:t xml:space="preserve">receive an identification card issued by </w:t>
            </w:r>
            <w:r>
              <w:t xml:space="preserve">the </w:t>
            </w:r>
            <w:r>
              <w:t xml:space="preserve">county or municipality </w:t>
            </w:r>
            <w:r>
              <w:t xml:space="preserve">in which they practice </w:t>
            </w:r>
            <w:r>
              <w:t xml:space="preserve">for purposes of </w:t>
            </w:r>
            <w:r>
              <w:t>bypass</w:t>
            </w:r>
            <w:r>
              <w:t>ing</w:t>
            </w:r>
            <w:r>
              <w:t xml:space="preserve"> security </w:t>
            </w:r>
            <w:r>
              <w:t>when</w:t>
            </w:r>
            <w:r>
              <w:t xml:space="preserve"> entering </w:t>
            </w:r>
            <w:r>
              <w:t xml:space="preserve">a </w:t>
            </w:r>
            <w:r>
              <w:t xml:space="preserve">courthouse in </w:t>
            </w:r>
            <w:r>
              <w:t xml:space="preserve">that </w:t>
            </w:r>
            <w:r>
              <w:t xml:space="preserve">county or municipality, many attorneys practice in multiple counties and municipalities and are </w:t>
            </w:r>
            <w:r>
              <w:t xml:space="preserve">therefore </w:t>
            </w:r>
            <w:r>
              <w:t>regularly subjected to security services before enter</w:t>
            </w:r>
            <w:r>
              <w:t>ing</w:t>
            </w:r>
            <w:r>
              <w:t xml:space="preserve"> </w:t>
            </w:r>
            <w:r>
              <w:t>a courthouse.</w:t>
            </w:r>
            <w:r>
              <w:t xml:space="preserve"> In response, i</w:t>
            </w:r>
            <w:r>
              <w:t xml:space="preserve">t has been suggested that </w:t>
            </w:r>
            <w:r>
              <w:t xml:space="preserve">there should be an </w:t>
            </w:r>
            <w:r>
              <w:t xml:space="preserve">alternative form of identification </w:t>
            </w:r>
            <w:r>
              <w:t xml:space="preserve">issued by the State Bar of Texas </w:t>
            </w:r>
            <w:r>
              <w:t xml:space="preserve">for such purposes. </w:t>
            </w:r>
            <w:r>
              <w:t>C.S.</w:t>
            </w:r>
            <w:r>
              <w:t xml:space="preserve">H.B. 1359 </w:t>
            </w:r>
            <w:r>
              <w:t xml:space="preserve">allows for </w:t>
            </w:r>
            <w:r>
              <w:t xml:space="preserve">this </w:t>
            </w:r>
            <w:r>
              <w:t xml:space="preserve">alternative. </w:t>
            </w:r>
            <w:r>
              <w:t xml:space="preserve"> </w:t>
            </w:r>
          </w:p>
          <w:p w:rsidR="008423E4" w:rsidRPr="00E26B13" w:rsidRDefault="009A4E66" w:rsidP="00F25E16">
            <w:pPr>
              <w:rPr>
                <w:b/>
              </w:rPr>
            </w:pPr>
          </w:p>
        </w:tc>
      </w:tr>
      <w:tr w:rsidR="00FE41EC" w:rsidTr="00345119">
        <w:tc>
          <w:tcPr>
            <w:tcW w:w="9576" w:type="dxa"/>
          </w:tcPr>
          <w:p w:rsidR="0017725B" w:rsidRDefault="009A4E66" w:rsidP="00F25E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A4E66" w:rsidP="00F25E16">
            <w:pPr>
              <w:rPr>
                <w:b/>
                <w:u w:val="single"/>
              </w:rPr>
            </w:pPr>
          </w:p>
          <w:p w:rsidR="00C225C5" w:rsidRPr="00C225C5" w:rsidRDefault="009A4E66" w:rsidP="00F25E16">
            <w:pPr>
              <w:jc w:val="both"/>
            </w:pPr>
            <w:r>
              <w:t xml:space="preserve">It is the committee's </w:t>
            </w:r>
            <w:r>
              <w:t>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A4E66" w:rsidP="00F25E16">
            <w:pPr>
              <w:rPr>
                <w:b/>
                <w:u w:val="single"/>
              </w:rPr>
            </w:pPr>
          </w:p>
        </w:tc>
      </w:tr>
      <w:tr w:rsidR="00FE41EC" w:rsidTr="00345119">
        <w:tc>
          <w:tcPr>
            <w:tcW w:w="9576" w:type="dxa"/>
          </w:tcPr>
          <w:p w:rsidR="008423E4" w:rsidRPr="00A8133F" w:rsidRDefault="009A4E66" w:rsidP="00F25E16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</w:t>
            </w:r>
            <w:r w:rsidRPr="009C1E9A">
              <w:rPr>
                <w:b/>
                <w:u w:val="single"/>
              </w:rPr>
              <w:t>MAKING AUTHORITY</w:t>
            </w:r>
            <w:r>
              <w:rPr>
                <w:b/>
              </w:rPr>
              <w:t xml:space="preserve"> </w:t>
            </w:r>
          </w:p>
          <w:p w:rsidR="008423E4" w:rsidRDefault="009A4E66" w:rsidP="00F25E16"/>
          <w:p w:rsidR="00C225C5" w:rsidRDefault="009A4E66" w:rsidP="00F25E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9A4E66" w:rsidP="00F25E16">
            <w:pPr>
              <w:rPr>
                <w:b/>
              </w:rPr>
            </w:pPr>
          </w:p>
        </w:tc>
      </w:tr>
      <w:tr w:rsidR="00FE41EC" w:rsidTr="00345119">
        <w:tc>
          <w:tcPr>
            <w:tcW w:w="9576" w:type="dxa"/>
          </w:tcPr>
          <w:p w:rsidR="008423E4" w:rsidRPr="00A8133F" w:rsidRDefault="009A4E66" w:rsidP="00F25E16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A4E66" w:rsidP="00F25E16"/>
          <w:p w:rsidR="003704BF" w:rsidRDefault="009A4E66" w:rsidP="00F25E16">
            <w:pPr>
              <w:pStyle w:val="Header"/>
              <w:jc w:val="both"/>
            </w:pPr>
            <w:r>
              <w:t>C.S.</w:t>
            </w:r>
            <w:r>
              <w:t>H.B. 1359 amends the Government Code</w:t>
            </w:r>
            <w:r>
              <w:t xml:space="preserve"> to</w:t>
            </w:r>
            <w:r>
              <w:t xml:space="preserve"> </w:t>
            </w:r>
            <w:r>
              <w:t>authorize the S</w:t>
            </w:r>
            <w:r>
              <w:t xml:space="preserve">tate </w:t>
            </w:r>
            <w:r>
              <w:t>B</w:t>
            </w:r>
            <w:r>
              <w:t>ar</w:t>
            </w:r>
            <w:r>
              <w:t xml:space="preserve"> of Texas</w:t>
            </w:r>
            <w:r>
              <w:t xml:space="preserve"> to issue to a member of the state bar a security services identification card that authorizes the member to enter a building that houses a court without passing through security services. The card </w:t>
            </w:r>
            <w:r>
              <w:t xml:space="preserve">may </w:t>
            </w:r>
            <w:r>
              <w:t>be in an</w:t>
            </w:r>
            <w:r>
              <w:t xml:space="preserve"> electronic or physical forma</w:t>
            </w:r>
            <w:r>
              <w:t>t</w:t>
            </w:r>
            <w:r>
              <w:t xml:space="preserve"> </w:t>
            </w:r>
            <w:r>
              <w:t xml:space="preserve">and must </w:t>
            </w:r>
            <w:r>
              <w:t>include a photograph of the member taken within the five years preceding the date of the card's issuance</w:t>
            </w:r>
            <w:r>
              <w:t>. The bill</w:t>
            </w:r>
            <w:r>
              <w:t xml:space="preserve"> authorizes a member of the state bar to apply for issuance of such a card by submitting to the state bar an </w:t>
            </w:r>
            <w:r w:rsidRPr="00C245A1">
              <w:t>application, a form</w:t>
            </w:r>
            <w:r>
              <w:t xml:space="preserve"> au</w:t>
            </w:r>
            <w:r>
              <w:t xml:space="preserve">thorizing the state bar to obtain criminal history record information on the applicant, and a reasonable fee in the amount set by the state bar to cover the costs of implementing </w:t>
            </w:r>
            <w:r w:rsidRPr="0053644D">
              <w:t xml:space="preserve">the </w:t>
            </w:r>
            <w:r>
              <w:t xml:space="preserve">applicable </w:t>
            </w:r>
            <w:r w:rsidRPr="0053644D">
              <w:t>bill</w:t>
            </w:r>
            <w:r w:rsidRPr="00496AE6">
              <w:t xml:space="preserve"> provisions</w:t>
            </w:r>
            <w:r>
              <w:t>.</w:t>
            </w:r>
            <w:r>
              <w:t xml:space="preserve"> </w:t>
            </w:r>
            <w:r>
              <w:t>The bill</w:t>
            </w:r>
            <w:r w:rsidRPr="004F763B">
              <w:t xml:space="preserve"> entitles the </w:t>
            </w:r>
            <w:r>
              <w:t>state bar</w:t>
            </w:r>
            <w:r w:rsidRPr="004F763B">
              <w:t xml:space="preserve"> to obtain fro</w:t>
            </w:r>
            <w:r w:rsidRPr="004F763B">
              <w:t>m the Department of Public Safety (DPS) criminal history record information maintained by DPS that relates to a person who is licensed by the state bar and applies for issuance of a security services identification card.</w:t>
            </w:r>
            <w:r>
              <w:t xml:space="preserve"> </w:t>
            </w:r>
            <w:r>
              <w:t xml:space="preserve">The bill requires the state bar to </w:t>
            </w:r>
            <w:r>
              <w:t>remit a portion of</w:t>
            </w:r>
            <w:r>
              <w:t xml:space="preserve"> each </w:t>
            </w:r>
            <w:r>
              <w:t xml:space="preserve">collected </w:t>
            </w:r>
            <w:r>
              <w:t>fee in an</w:t>
            </w:r>
            <w:r>
              <w:t xml:space="preserve"> amount</w:t>
            </w:r>
            <w:r>
              <w:t xml:space="preserve"> </w:t>
            </w:r>
            <w:r>
              <w:t>not less than</w:t>
            </w:r>
            <w:r>
              <w:t xml:space="preserve"> $50 as prescribed by state bar rules to the county treasurer</w:t>
            </w:r>
            <w:r>
              <w:t>,</w:t>
            </w:r>
            <w:r>
              <w:t xml:space="preserve"> or person performing the functions of the county treasurer</w:t>
            </w:r>
            <w:r>
              <w:t>,</w:t>
            </w:r>
            <w:r>
              <w:t xml:space="preserve"> of the county of the applicant's primary practice location and </w:t>
            </w:r>
            <w:r>
              <w:t xml:space="preserve">restricts the </w:t>
            </w:r>
            <w:r>
              <w:t xml:space="preserve">county's </w:t>
            </w:r>
            <w:r>
              <w:t>use of</w:t>
            </w:r>
            <w:r>
              <w:t xml:space="preserve"> the</w:t>
            </w:r>
            <w:r>
              <w:t xml:space="preserve"> money </w:t>
            </w:r>
            <w:r>
              <w:t>to</w:t>
            </w:r>
            <w:r>
              <w:t xml:space="preserve"> </w:t>
            </w:r>
            <w:r>
              <w:t>court security purposes. The</w:t>
            </w:r>
            <w:r>
              <w:t xml:space="preserve"> bill requires the state bar to</w:t>
            </w:r>
            <w:r>
              <w:t xml:space="preserve"> adopt rules to implement </w:t>
            </w:r>
            <w:r>
              <w:t xml:space="preserve">the bill's </w:t>
            </w:r>
            <w:r>
              <w:t>provisions</w:t>
            </w:r>
            <w:r>
              <w:t xml:space="preserve"> relating to the security services identification card</w:t>
            </w:r>
            <w:r>
              <w:t>, including rules</w:t>
            </w:r>
            <w:r>
              <w:t xml:space="preserve"> </w:t>
            </w:r>
            <w:r>
              <w:t>regarding the collection and distri</w:t>
            </w:r>
            <w:r>
              <w:t>bution of fees; the approval, denial, and revocation of a card; and the establishment of a committee with specified card-related duties</w:t>
            </w:r>
            <w:r>
              <w:t>.</w:t>
            </w:r>
          </w:p>
          <w:p w:rsidR="007B28C8" w:rsidRDefault="009A4E66" w:rsidP="00F25E16">
            <w:pPr>
              <w:pStyle w:val="Header"/>
              <w:jc w:val="both"/>
            </w:pPr>
          </w:p>
          <w:p w:rsidR="007B28C8" w:rsidRDefault="009A4E66" w:rsidP="00F25E16">
            <w:pPr>
              <w:pStyle w:val="Header"/>
              <w:jc w:val="both"/>
            </w:pPr>
            <w:r>
              <w:t xml:space="preserve">C.S.H.B. 1359 gives an attorney licensed to practice law in Texas the option to present the attorney's </w:t>
            </w:r>
            <w:r w:rsidRPr="004F763B">
              <w:t>security servic</w:t>
            </w:r>
            <w:r w:rsidRPr="004F763B">
              <w:t>es identification card</w:t>
            </w:r>
            <w:r>
              <w:t xml:space="preserve"> as an alternative to an identification card issued or authorized for issuance by a county or municipality to enter a building that houses a justice court, municipal court, county court, county court at law, or district court without </w:t>
            </w:r>
            <w:r>
              <w:t>passing through security services. The bill prohibits a county or municipality from adopting or enforcing an order or ordinance that conflicts with this provision.</w:t>
            </w:r>
          </w:p>
          <w:p w:rsidR="007B28C8" w:rsidRDefault="009A4E66" w:rsidP="00F25E16">
            <w:pPr>
              <w:pStyle w:val="Header"/>
              <w:jc w:val="both"/>
            </w:pPr>
          </w:p>
          <w:p w:rsidR="008423E4" w:rsidRDefault="009A4E66" w:rsidP="00F25E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1359</w:t>
            </w:r>
            <w:r w:rsidRPr="00496AE6">
              <w:t xml:space="preserve"> requires the state bar to adopt the rules, fees, forms, and procedures necess</w:t>
            </w:r>
            <w:r w:rsidRPr="00496AE6">
              <w:t>ary to implement the bill's provisions.</w:t>
            </w:r>
          </w:p>
          <w:p w:rsidR="004F763B" w:rsidRDefault="009A4E66" w:rsidP="00F25E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0147AB" w:rsidRDefault="009A4E66" w:rsidP="00F25E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C.S.H.B. 135</w:t>
            </w:r>
            <w:r>
              <w:t>9</w:t>
            </w:r>
            <w:r>
              <w:t xml:space="preserve"> amends the Local Government Code to </w:t>
            </w:r>
            <w:r>
              <w:t>make a conforming change</w:t>
            </w:r>
            <w:r>
              <w:t>.</w:t>
            </w:r>
            <w:r>
              <w:t xml:space="preserve">  </w:t>
            </w:r>
          </w:p>
          <w:p w:rsidR="008423E4" w:rsidRPr="00835628" w:rsidRDefault="009A4E66" w:rsidP="00F25E16">
            <w:pPr>
              <w:rPr>
                <w:b/>
              </w:rPr>
            </w:pPr>
          </w:p>
        </w:tc>
      </w:tr>
      <w:tr w:rsidR="00FE41EC" w:rsidTr="00345119">
        <w:tc>
          <w:tcPr>
            <w:tcW w:w="9576" w:type="dxa"/>
          </w:tcPr>
          <w:p w:rsidR="008423E4" w:rsidRPr="00A8133F" w:rsidRDefault="009A4E66" w:rsidP="00F25E16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A4E66" w:rsidP="00F25E16"/>
          <w:p w:rsidR="008423E4" w:rsidRPr="003624F2" w:rsidRDefault="009A4E66" w:rsidP="00F25E16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A4E66" w:rsidP="00F25E16">
            <w:pPr>
              <w:rPr>
                <w:b/>
              </w:rPr>
            </w:pPr>
          </w:p>
        </w:tc>
      </w:tr>
      <w:tr w:rsidR="00FE41EC" w:rsidTr="00345119">
        <w:tc>
          <w:tcPr>
            <w:tcW w:w="9576" w:type="dxa"/>
          </w:tcPr>
          <w:p w:rsidR="00E37848" w:rsidRDefault="009A4E66" w:rsidP="00F25E16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6215AA" w:rsidRDefault="009A4E66" w:rsidP="00F25E16">
            <w:pPr>
              <w:jc w:val="both"/>
            </w:pPr>
          </w:p>
          <w:p w:rsidR="006215AA" w:rsidRDefault="009A4E66" w:rsidP="00F25E16">
            <w:pPr>
              <w:jc w:val="both"/>
            </w:pPr>
            <w:r>
              <w:t xml:space="preserve">While C.S.H.B. 1359 may differ from the original in minor </w:t>
            </w:r>
            <w:r>
              <w:t>or nonsubstantive ways, the following summarizes the substantial differences between the introduced and committee substitute versions of the bill.</w:t>
            </w:r>
          </w:p>
          <w:p w:rsidR="006215AA" w:rsidRDefault="009A4E66" w:rsidP="00F25E16">
            <w:pPr>
              <w:jc w:val="both"/>
            </w:pPr>
          </w:p>
          <w:p w:rsidR="006215AA" w:rsidRDefault="009A4E66" w:rsidP="00F25E16">
            <w:pPr>
              <w:jc w:val="both"/>
            </w:pPr>
            <w:r>
              <w:t xml:space="preserve">The substitute changes the identification card that may be used by an attorney </w:t>
            </w:r>
            <w:r>
              <w:t xml:space="preserve">to enter a building that houses a court without passing through security services under the bill's provisions </w:t>
            </w:r>
            <w:r>
              <w:t xml:space="preserve">from the attorney's state bar membership card to the attorney's </w:t>
            </w:r>
            <w:r>
              <w:t>security services</w:t>
            </w:r>
            <w:r>
              <w:t xml:space="preserve"> identification card</w:t>
            </w:r>
            <w:r>
              <w:t xml:space="preserve"> issued by the state bar</w:t>
            </w:r>
            <w:r>
              <w:t>. The substitute</w:t>
            </w:r>
            <w:r>
              <w:t xml:space="preserve"> </w:t>
            </w:r>
            <w:r>
              <w:t>cont</w:t>
            </w:r>
            <w:r>
              <w:t>ains</w:t>
            </w:r>
            <w:r>
              <w:t xml:space="preserve"> provisions relating to the application</w:t>
            </w:r>
            <w:r>
              <w:t xml:space="preserve"> for</w:t>
            </w:r>
            <w:r>
              <w:t xml:space="preserve"> and issuance </w:t>
            </w:r>
            <w:r>
              <w:t>of</w:t>
            </w:r>
            <w:r>
              <w:t xml:space="preserve"> such an identification card</w:t>
            </w:r>
            <w:r>
              <w:t xml:space="preserve">, including provisions relating to the </w:t>
            </w:r>
            <w:r>
              <w:t xml:space="preserve">remittance and </w:t>
            </w:r>
            <w:r>
              <w:t>use of application fees and the adoption of rules</w:t>
            </w:r>
            <w:r>
              <w:t>, fees, forms, and procedures</w:t>
            </w:r>
            <w:r>
              <w:t xml:space="preserve"> by the state bar</w:t>
            </w:r>
            <w:r>
              <w:t>.</w:t>
            </w:r>
          </w:p>
          <w:p w:rsidR="006215AA" w:rsidRDefault="009A4E66" w:rsidP="00F25E16">
            <w:pPr>
              <w:jc w:val="both"/>
            </w:pPr>
          </w:p>
          <w:p w:rsidR="006215AA" w:rsidRDefault="009A4E66" w:rsidP="00F25E16">
            <w:pPr>
              <w:jc w:val="both"/>
            </w:pPr>
            <w:r>
              <w:t>The substitut</w:t>
            </w:r>
            <w:r>
              <w:t>e includes a</w:t>
            </w:r>
            <w:r>
              <w:t xml:space="preserve"> provision</w:t>
            </w:r>
            <w:r>
              <w:t xml:space="preserve"> entitl</w:t>
            </w:r>
            <w:r>
              <w:t>ing</w:t>
            </w:r>
            <w:r>
              <w:t xml:space="preserve"> </w:t>
            </w:r>
            <w:r w:rsidRPr="006215AA">
              <w:t xml:space="preserve">the state bar to obtain from </w:t>
            </w:r>
            <w:r>
              <w:t>DPS</w:t>
            </w:r>
            <w:r w:rsidRPr="006215AA">
              <w:t xml:space="preserve"> criminal history record information maintained by DPS that relates to a person who is licensed by the state bar and applies for issuance of </w:t>
            </w:r>
            <w:r>
              <w:t>a security services identification</w:t>
            </w:r>
            <w:r w:rsidRPr="00496AE6">
              <w:t xml:space="preserve"> </w:t>
            </w:r>
            <w:r w:rsidRPr="00496AE6">
              <w:t>card</w:t>
            </w:r>
            <w:r>
              <w:t>.</w:t>
            </w:r>
          </w:p>
          <w:p w:rsidR="006215AA" w:rsidRPr="006215AA" w:rsidRDefault="009A4E66" w:rsidP="00F25E16">
            <w:pPr>
              <w:jc w:val="both"/>
            </w:pPr>
          </w:p>
        </w:tc>
      </w:tr>
      <w:tr w:rsidR="00FE41EC" w:rsidTr="00345119">
        <w:tc>
          <w:tcPr>
            <w:tcW w:w="9576" w:type="dxa"/>
          </w:tcPr>
          <w:p w:rsidR="00E37848" w:rsidRPr="009C1E9A" w:rsidRDefault="009A4E66" w:rsidP="00F25E16">
            <w:pPr>
              <w:rPr>
                <w:b/>
                <w:u w:val="single"/>
              </w:rPr>
            </w:pPr>
          </w:p>
        </w:tc>
      </w:tr>
      <w:tr w:rsidR="00FE41EC" w:rsidTr="00345119">
        <w:tc>
          <w:tcPr>
            <w:tcW w:w="9576" w:type="dxa"/>
          </w:tcPr>
          <w:p w:rsidR="00E37848" w:rsidRPr="00E37848" w:rsidRDefault="009A4E66" w:rsidP="00F25E16">
            <w:pPr>
              <w:jc w:val="both"/>
            </w:pPr>
          </w:p>
        </w:tc>
      </w:tr>
    </w:tbl>
    <w:p w:rsidR="004108C3" w:rsidRPr="008423E4" w:rsidRDefault="009A4E66" w:rsidP="008423E4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A4E66">
      <w:r>
        <w:separator/>
      </w:r>
    </w:p>
  </w:endnote>
  <w:endnote w:type="continuationSeparator" w:id="0">
    <w:p w:rsidR="00000000" w:rsidRDefault="009A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4E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E41EC" w:rsidTr="009C1E9A">
      <w:trPr>
        <w:cantSplit/>
      </w:trPr>
      <w:tc>
        <w:tcPr>
          <w:tcW w:w="0" w:type="pct"/>
        </w:tcPr>
        <w:p w:rsidR="00137D90" w:rsidRDefault="009A4E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A4E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A4E6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A4E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A4E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41EC" w:rsidTr="009C1E9A">
      <w:trPr>
        <w:cantSplit/>
      </w:trPr>
      <w:tc>
        <w:tcPr>
          <w:tcW w:w="0" w:type="pct"/>
        </w:tcPr>
        <w:p w:rsidR="00EC379B" w:rsidRDefault="009A4E6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A4E6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30575</w:t>
          </w:r>
        </w:p>
      </w:tc>
      <w:tc>
        <w:tcPr>
          <w:tcW w:w="2453" w:type="pct"/>
        </w:tcPr>
        <w:p w:rsidR="00EC379B" w:rsidRDefault="009A4E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19.120.95</w:t>
          </w:r>
          <w:r>
            <w:fldChar w:fldCharType="end"/>
          </w:r>
        </w:p>
      </w:tc>
    </w:tr>
    <w:tr w:rsidR="00FE41EC" w:rsidTr="009C1E9A">
      <w:trPr>
        <w:cantSplit/>
      </w:trPr>
      <w:tc>
        <w:tcPr>
          <w:tcW w:w="0" w:type="pct"/>
        </w:tcPr>
        <w:p w:rsidR="00EC379B" w:rsidRDefault="009A4E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A4E6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24910</w:t>
          </w:r>
        </w:p>
      </w:tc>
      <w:tc>
        <w:tcPr>
          <w:tcW w:w="2453" w:type="pct"/>
        </w:tcPr>
        <w:p w:rsidR="00EC379B" w:rsidRDefault="009A4E66" w:rsidP="006D504F">
          <w:pPr>
            <w:pStyle w:val="Footer"/>
            <w:rPr>
              <w:rStyle w:val="PageNumber"/>
            </w:rPr>
          </w:pPr>
        </w:p>
        <w:p w:rsidR="00EC379B" w:rsidRDefault="009A4E6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E41E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A4E6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A4E6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A4E6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4E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A4E66">
      <w:r>
        <w:separator/>
      </w:r>
    </w:p>
  </w:footnote>
  <w:footnote w:type="continuationSeparator" w:id="0">
    <w:p w:rsidR="00000000" w:rsidRDefault="009A4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4E6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A4E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55CA0"/>
    <w:multiLevelType w:val="hybridMultilevel"/>
    <w:tmpl w:val="7C427288"/>
    <w:lvl w:ilvl="0" w:tplc="AF0839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320E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562D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E487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EA6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7ED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8BC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458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68C3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2276"/>
    <w:multiLevelType w:val="hybridMultilevel"/>
    <w:tmpl w:val="84529C74"/>
    <w:lvl w:ilvl="0" w:tplc="0130E0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200B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3A87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09D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5A3F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CB0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D02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AED8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DA0F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1EC"/>
    <w:rsid w:val="009A4E66"/>
    <w:rsid w:val="00FE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A88BADE-8995-4244-B643-FAF68013D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25A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5A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5A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5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5A3D"/>
    <w:rPr>
      <w:b/>
      <w:bCs/>
    </w:rPr>
  </w:style>
  <w:style w:type="character" w:styleId="Hyperlink">
    <w:name w:val="Hyperlink"/>
    <w:basedOn w:val="DefaultParagraphFont"/>
    <w:unhideWhenUsed/>
    <w:rsid w:val="00C97B1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B7C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4023</Characters>
  <Application>Microsoft Office Word</Application>
  <DocSecurity>4</DocSecurity>
  <Lines>88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HB01359 (Committee Report (Substituted))</vt:lpstr>
    </vt:vector>
  </TitlesOfParts>
  <Company>State of Texas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30575</dc:subject>
  <dc:creator>State of Texas</dc:creator>
  <dc:description>HB 1359 by Wu-(H)Judiciary &amp; Civil Jurisprudence (Substitute Document Number: 86R 24910)</dc:description>
  <cp:lastModifiedBy>Erin Conway</cp:lastModifiedBy>
  <cp:revision>2</cp:revision>
  <cp:lastPrinted>2019-04-29T23:29:00Z</cp:lastPrinted>
  <dcterms:created xsi:type="dcterms:W3CDTF">2019-04-30T22:56:00Z</dcterms:created>
  <dcterms:modified xsi:type="dcterms:W3CDTF">2019-04-30T22:56:00Z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19.120.95</vt:lpwstr>
  </property>
</Properties>
</file>