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4517" w:rsidTr="00345119">
        <w:tc>
          <w:tcPr>
            <w:tcW w:w="9576" w:type="dxa"/>
            <w:noWrap/>
          </w:tcPr>
          <w:p w:rsidR="008423E4" w:rsidRPr="0022177D" w:rsidRDefault="009277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27787" w:rsidP="008423E4">
      <w:pPr>
        <w:jc w:val="center"/>
      </w:pPr>
    </w:p>
    <w:p w:rsidR="008423E4" w:rsidRPr="00B31F0E" w:rsidRDefault="00927787" w:rsidP="008423E4"/>
    <w:p w:rsidR="008423E4" w:rsidRPr="00742794" w:rsidRDefault="009277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4517" w:rsidTr="00345119">
        <w:tc>
          <w:tcPr>
            <w:tcW w:w="9576" w:type="dxa"/>
          </w:tcPr>
          <w:p w:rsidR="008423E4" w:rsidRPr="00861995" w:rsidRDefault="00927787" w:rsidP="00345119">
            <w:pPr>
              <w:jc w:val="right"/>
            </w:pPr>
            <w:r>
              <w:t>C.S.H.B. 1364</w:t>
            </w:r>
          </w:p>
        </w:tc>
      </w:tr>
      <w:tr w:rsidR="006B4517" w:rsidTr="00345119">
        <w:tc>
          <w:tcPr>
            <w:tcW w:w="9576" w:type="dxa"/>
          </w:tcPr>
          <w:p w:rsidR="008423E4" w:rsidRPr="00861995" w:rsidRDefault="00927787" w:rsidP="00631616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6B4517" w:rsidTr="00345119">
        <w:tc>
          <w:tcPr>
            <w:tcW w:w="9576" w:type="dxa"/>
          </w:tcPr>
          <w:p w:rsidR="008423E4" w:rsidRPr="00861995" w:rsidRDefault="00927787" w:rsidP="00345119">
            <w:pPr>
              <w:jc w:val="right"/>
            </w:pPr>
            <w:r>
              <w:t>Juvenile Justice &amp; Family Issues</w:t>
            </w:r>
          </w:p>
        </w:tc>
      </w:tr>
      <w:tr w:rsidR="006B4517" w:rsidTr="00345119">
        <w:tc>
          <w:tcPr>
            <w:tcW w:w="9576" w:type="dxa"/>
          </w:tcPr>
          <w:p w:rsidR="008423E4" w:rsidRDefault="00927787" w:rsidP="00904AB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27787" w:rsidP="008423E4">
      <w:pPr>
        <w:tabs>
          <w:tab w:val="right" w:pos="9360"/>
        </w:tabs>
      </w:pPr>
    </w:p>
    <w:p w:rsidR="008423E4" w:rsidRDefault="00927787" w:rsidP="008423E4"/>
    <w:p w:rsidR="008423E4" w:rsidRDefault="009277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4517" w:rsidTr="00345119">
        <w:tc>
          <w:tcPr>
            <w:tcW w:w="9576" w:type="dxa"/>
          </w:tcPr>
          <w:p w:rsidR="008423E4" w:rsidRPr="00A8133F" w:rsidRDefault="00927787" w:rsidP="00DC7A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27787" w:rsidP="00DC7AAF"/>
          <w:p w:rsidR="004B4174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over the age of a child at which a</w:t>
            </w:r>
            <w:r>
              <w:t xml:space="preserve"> </w:t>
            </w:r>
            <w:r>
              <w:t>juvenile</w:t>
            </w:r>
            <w:r>
              <w:t xml:space="preserve"> court</w:t>
            </w:r>
            <w:r>
              <w:t xml:space="preserve"> </w:t>
            </w:r>
            <w:r w:rsidRPr="000D7F91">
              <w:t xml:space="preserve">may exercise jurisdiction over </w:t>
            </w:r>
            <w:r>
              <w:t>the</w:t>
            </w:r>
            <w:r>
              <w:t xml:space="preserve"> child</w:t>
            </w:r>
            <w:r>
              <w:t xml:space="preserve">, given </w:t>
            </w:r>
            <w:r>
              <w:t xml:space="preserve">that </w:t>
            </w:r>
            <w:r>
              <w:t xml:space="preserve">children </w:t>
            </w:r>
            <w:r>
              <w:t>as young as 10</w:t>
            </w:r>
            <w:r>
              <w:t xml:space="preserve"> </w:t>
            </w:r>
            <w:r>
              <w:t>years old</w:t>
            </w:r>
            <w:r>
              <w:t xml:space="preserve"> </w:t>
            </w:r>
            <w:r>
              <w:t>are in</w:t>
            </w:r>
            <w:r>
              <w:t>cluded in</w:t>
            </w:r>
            <w:r>
              <w:t xml:space="preserve"> this </w:t>
            </w:r>
            <w:r>
              <w:t>jurisdiction</w:t>
            </w:r>
            <w:r>
              <w:t>.</w:t>
            </w:r>
            <w:r>
              <w:t xml:space="preserve"> </w:t>
            </w:r>
            <w:r>
              <w:t xml:space="preserve">Additionally, it has been suggested that raising the maximum age of </w:t>
            </w:r>
            <w:r>
              <w:t>certain offenders</w:t>
            </w:r>
            <w:r>
              <w:t xml:space="preserve"> </w:t>
            </w:r>
            <w:r>
              <w:t>under</w:t>
            </w:r>
            <w:r>
              <w:t xml:space="preserve"> this </w:t>
            </w:r>
            <w:r>
              <w:t>jurisdiction</w:t>
            </w:r>
            <w:r>
              <w:t xml:space="preserve"> could </w:t>
            </w:r>
            <w:r>
              <w:t xml:space="preserve">help </w:t>
            </w:r>
            <w:r>
              <w:t>alleviate the backlog of adult criminal courts hearin</w:t>
            </w:r>
            <w:r>
              <w:t>g low level and minor violations</w:t>
            </w:r>
            <w:r>
              <w:t xml:space="preserve"> committed by 18-year-</w:t>
            </w:r>
            <w:r>
              <w:t>olds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1364 </w:t>
            </w:r>
            <w:r>
              <w:t>seeks</w:t>
            </w:r>
            <w:r>
              <w:t xml:space="preserve"> to address these concerns by </w:t>
            </w:r>
            <w:r>
              <w:t>rais</w:t>
            </w:r>
            <w:r>
              <w:t>ing</w:t>
            </w:r>
            <w:r>
              <w:t xml:space="preserve"> the age of</w:t>
            </w:r>
            <w:r>
              <w:t xml:space="preserve"> a child for purposes of certain juvenile court matters and </w:t>
            </w:r>
            <w:r>
              <w:t>criminal responsibility.</w:t>
            </w:r>
          </w:p>
          <w:p w:rsidR="008423E4" w:rsidRPr="00E26B13" w:rsidRDefault="00927787" w:rsidP="00DC7AAF">
            <w:pPr>
              <w:rPr>
                <w:b/>
              </w:rPr>
            </w:pPr>
          </w:p>
        </w:tc>
      </w:tr>
      <w:tr w:rsidR="006B4517" w:rsidTr="00345119">
        <w:tc>
          <w:tcPr>
            <w:tcW w:w="9576" w:type="dxa"/>
          </w:tcPr>
          <w:p w:rsidR="0017725B" w:rsidRDefault="00927787" w:rsidP="00DC7A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27787" w:rsidP="00DC7AAF">
            <w:pPr>
              <w:rPr>
                <w:b/>
                <w:u w:val="single"/>
              </w:rPr>
            </w:pPr>
          </w:p>
          <w:p w:rsidR="00FE753B" w:rsidRPr="00FE753B" w:rsidRDefault="00927787" w:rsidP="00DC7AAF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927787" w:rsidP="00DC7AAF">
            <w:pPr>
              <w:rPr>
                <w:b/>
                <w:u w:val="single"/>
              </w:rPr>
            </w:pPr>
          </w:p>
        </w:tc>
      </w:tr>
      <w:tr w:rsidR="006B4517" w:rsidTr="00345119">
        <w:tc>
          <w:tcPr>
            <w:tcW w:w="9576" w:type="dxa"/>
          </w:tcPr>
          <w:p w:rsidR="008423E4" w:rsidRPr="00A8133F" w:rsidRDefault="00927787" w:rsidP="00DC7A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27787" w:rsidP="00DC7AAF"/>
          <w:p w:rsidR="00FE753B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27787" w:rsidP="00DC7AAF">
            <w:pPr>
              <w:rPr>
                <w:b/>
              </w:rPr>
            </w:pPr>
          </w:p>
        </w:tc>
      </w:tr>
      <w:tr w:rsidR="006B4517" w:rsidTr="00345119">
        <w:tc>
          <w:tcPr>
            <w:tcW w:w="9576" w:type="dxa"/>
          </w:tcPr>
          <w:p w:rsidR="008423E4" w:rsidRPr="00A8133F" w:rsidRDefault="00927787" w:rsidP="00DC7A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27787" w:rsidP="00DC7AAF"/>
          <w:p w:rsidR="008423E4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1364 amends the Code of Criminal Procedur</w:t>
            </w:r>
            <w:r>
              <w:t xml:space="preserve">e to raise </w:t>
            </w:r>
            <w:r w:rsidRPr="005260AB">
              <w:t xml:space="preserve">from 10 years of age to 12 years of age </w:t>
            </w:r>
            <w:r>
              <w:t xml:space="preserve">the minimum age </w:t>
            </w:r>
            <w:r>
              <w:t>at which a person is</w:t>
            </w:r>
            <w:r>
              <w:t xml:space="preserve"> considered a</w:t>
            </w:r>
            <w:r>
              <w:t xml:space="preserve"> child </w:t>
            </w:r>
            <w:r>
              <w:t>for purposes</w:t>
            </w:r>
            <w:r>
              <w:t xml:space="preserve"> </w:t>
            </w:r>
            <w:r>
              <w:t xml:space="preserve">of statutory </w:t>
            </w:r>
            <w:r>
              <w:t xml:space="preserve">provisions relating to </w:t>
            </w:r>
            <w:r>
              <w:t>a child</w:t>
            </w:r>
            <w:r>
              <w:t xml:space="preserve"> taken into custody</w:t>
            </w:r>
            <w:r>
              <w:t xml:space="preserve"> for an offense over which a justice or municipal court has jurisdiction</w:t>
            </w:r>
            <w:r>
              <w:t>.</w:t>
            </w:r>
            <w:r>
              <w:t xml:space="preserve"> </w:t>
            </w:r>
          </w:p>
          <w:p w:rsidR="00726F54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26F54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1364 amends the Education Code to raise </w:t>
            </w:r>
            <w:r w:rsidRPr="005260AB">
              <w:t xml:space="preserve">from 10 years of age to 12 years of age </w:t>
            </w:r>
            <w:r>
              <w:t xml:space="preserve">the minimum age </w:t>
            </w:r>
            <w:r>
              <w:t xml:space="preserve">at </w:t>
            </w:r>
            <w:r>
              <w:t>which</w:t>
            </w:r>
            <w:r>
              <w:t xml:space="preserve"> a </w:t>
            </w:r>
            <w:r>
              <w:t xml:space="preserve">student is </w:t>
            </w:r>
            <w:r>
              <w:t xml:space="preserve">considered a </w:t>
            </w:r>
            <w:r>
              <w:t xml:space="preserve">child </w:t>
            </w:r>
            <w:r>
              <w:t>for purposes of the</w:t>
            </w:r>
            <w:r>
              <w:t xml:space="preserve"> criminal procedure</w:t>
            </w:r>
            <w:r>
              <w:t xml:space="preserve"> applicable to a school offense</w:t>
            </w:r>
            <w:r>
              <w:t>.</w:t>
            </w:r>
          </w:p>
          <w:p w:rsidR="00726F54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73CAA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1364 amends the Family Code to </w:t>
            </w:r>
            <w:r>
              <w:t>revise the definition of “child” for purposes of</w:t>
            </w:r>
            <w:r>
              <w:t xml:space="preserve"> certain conduct</w:t>
            </w:r>
            <w:r>
              <w:t xml:space="preserve"> under</w:t>
            </w:r>
            <w:r>
              <w:t xml:space="preserve"> the juvenile justice </w:t>
            </w:r>
            <w:r>
              <w:t>c</w:t>
            </w:r>
            <w:r>
              <w:t>ode</w:t>
            </w:r>
            <w:r>
              <w:t xml:space="preserve"> as follows:</w:t>
            </w:r>
          </w:p>
          <w:p w:rsidR="00373CAA" w:rsidRDefault="00927787" w:rsidP="00DC7AA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raises </w:t>
            </w:r>
            <w:r w:rsidRPr="00357DC3">
              <w:t xml:space="preserve">the maximum age </w:t>
            </w:r>
            <w:r>
              <w:t xml:space="preserve">at which a person is considered a child from </w:t>
            </w:r>
            <w:r w:rsidRPr="004074A8">
              <w:t>17 years of age to 19 years of age</w:t>
            </w:r>
            <w:r>
              <w:t xml:space="preserve"> if the person </w:t>
            </w:r>
            <w:r>
              <w:t xml:space="preserve">is </w:t>
            </w:r>
            <w:r>
              <w:t xml:space="preserve">10 years of age </w:t>
            </w:r>
            <w:r>
              <w:t xml:space="preserve">or older </w:t>
            </w:r>
            <w:r>
              <w:t xml:space="preserve">and </w:t>
            </w:r>
            <w:r w:rsidRPr="004074A8">
              <w:t>is alleged or found to have engaged in conduct that violates a penal law of the grade of felony of the second degree or higher as a result of acts committed before becoming 12 years of age</w:t>
            </w:r>
            <w:r>
              <w:t>;</w:t>
            </w:r>
            <w:r>
              <w:t xml:space="preserve"> </w:t>
            </w:r>
          </w:p>
          <w:p w:rsidR="00A77B7B" w:rsidRDefault="00927787" w:rsidP="00DC7AA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revises the age ra</w:t>
            </w:r>
            <w:r>
              <w:t xml:space="preserve">nge at which a person is considered a child from 17 years of age or older and under 18 years of age to 12 years of age or older and under </w:t>
            </w:r>
            <w:r>
              <w:t>19 years of age</w:t>
            </w:r>
            <w:r>
              <w:t xml:space="preserve"> if the person </w:t>
            </w:r>
            <w:r>
              <w:t xml:space="preserve">is </w:t>
            </w:r>
            <w:r w:rsidRPr="00F42274">
              <w:t>alleged or found to have engaged in delinquent conduct or conduct indicating a need f</w:t>
            </w:r>
            <w:r w:rsidRPr="00F42274">
              <w:t xml:space="preserve">or supervision as a result of acts committed </w:t>
            </w:r>
            <w:r>
              <w:t xml:space="preserve">after becoming 12 years of age and </w:t>
            </w:r>
            <w:r w:rsidRPr="00C26BD2">
              <w:t xml:space="preserve">before becoming </w:t>
            </w:r>
            <w:r>
              <w:t>17</w:t>
            </w:r>
            <w:r w:rsidRPr="00C26BD2">
              <w:t xml:space="preserve"> years of age</w:t>
            </w:r>
            <w:r>
              <w:t xml:space="preserve">. </w:t>
            </w:r>
          </w:p>
          <w:p w:rsidR="009821EA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a </w:t>
            </w:r>
            <w:r w:rsidRPr="00F8029A">
              <w:t xml:space="preserve">child younger than 12 years of age </w:t>
            </w:r>
            <w:r>
              <w:t>to</w:t>
            </w:r>
            <w:r w:rsidRPr="00F8029A">
              <w:t xml:space="preserve"> be released from </w:t>
            </w:r>
            <w:r>
              <w:t xml:space="preserve">court </w:t>
            </w:r>
            <w:r w:rsidRPr="00F8029A">
              <w:t xml:space="preserve">custody </w:t>
            </w:r>
            <w:r w:rsidRPr="00FD035F">
              <w:t>to a parent, guardian, custodian of the child, or oth</w:t>
            </w:r>
            <w:r w:rsidRPr="00FD035F">
              <w:t xml:space="preserve">er responsible adult upon that person's promise to bring the child before the juvenile court as requested by the court </w:t>
            </w:r>
            <w:r w:rsidRPr="00DB06B5">
              <w:t>unless the child poses an immediate threat to public safe</w:t>
            </w:r>
            <w:r>
              <w:t xml:space="preserve">ty or to the child's own safety. </w:t>
            </w:r>
          </w:p>
          <w:p w:rsidR="009821EA" w:rsidRDefault="00927787" w:rsidP="00DC7AAF">
            <w:pPr>
              <w:pStyle w:val="Header"/>
              <w:jc w:val="both"/>
            </w:pPr>
          </w:p>
          <w:p w:rsidR="00726F54" w:rsidRDefault="00927787" w:rsidP="00DC7AAF">
            <w:pPr>
              <w:pStyle w:val="Header"/>
              <w:jc w:val="both"/>
            </w:pPr>
            <w:r w:rsidRPr="009821EA">
              <w:t xml:space="preserve">C.S.H.B. 1364 </w:t>
            </w:r>
            <w:r>
              <w:t xml:space="preserve">requires a court to hold a </w:t>
            </w:r>
            <w:r>
              <w:t>hearing without a jury to determine whether to retain jurisdiction over a child younger than 12 years of age</w:t>
            </w:r>
            <w:r>
              <w:t>. The bill</w:t>
            </w:r>
            <w:r>
              <w:t xml:space="preserve"> sets out conditions under which </w:t>
            </w:r>
            <w:r>
              <w:t>the</w:t>
            </w:r>
            <w:r>
              <w:t xml:space="preserve"> hearing </w:t>
            </w:r>
            <w:r>
              <w:t>must</w:t>
            </w:r>
            <w:r>
              <w:t xml:space="preserve"> be held</w:t>
            </w:r>
            <w:r>
              <w:t xml:space="preserve"> </w:t>
            </w:r>
            <w:r>
              <w:t xml:space="preserve">and the </w:t>
            </w:r>
            <w:r>
              <w:t>matters that must be determined</w:t>
            </w:r>
            <w:r>
              <w:t>.</w:t>
            </w:r>
            <w:r>
              <w:t xml:space="preserve"> </w:t>
            </w:r>
            <w:r>
              <w:t xml:space="preserve">The bill authorizes </w:t>
            </w:r>
            <w:r>
              <w:t xml:space="preserve">the court </w:t>
            </w:r>
            <w:r>
              <w:t>to procee</w:t>
            </w:r>
            <w:r>
              <w:t>d with a</w:t>
            </w:r>
            <w:r>
              <w:t xml:space="preserve"> detention hearing or an adjudication hearing, as applicable</w:t>
            </w:r>
            <w:r>
              <w:t>, if the court retains jurisdiction over a child</w:t>
            </w:r>
            <w:r>
              <w:t>.</w:t>
            </w:r>
            <w:r>
              <w:t xml:space="preserve"> The bill requires</w:t>
            </w:r>
            <w:r>
              <w:t xml:space="preserve"> the court </w:t>
            </w:r>
            <w:r>
              <w:t>to</w:t>
            </w:r>
            <w:r>
              <w:t xml:space="preserve"> immediately dismiss the child and the charges against the child</w:t>
            </w:r>
            <w:r>
              <w:t xml:space="preserve"> if the court waives jurisdiction over the c</w:t>
            </w:r>
            <w:r>
              <w:t>hild</w:t>
            </w:r>
            <w:r>
              <w:t xml:space="preserve"> and </w:t>
            </w:r>
            <w:r>
              <w:t>establishes that such a</w:t>
            </w:r>
            <w:r>
              <w:t xml:space="preserve"> waiver is a waiver of jurisdiction over the child only for the dismissed charges.</w:t>
            </w:r>
          </w:p>
          <w:p w:rsidR="0085548D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130B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1364 amends the Human Resources Code to</w:t>
            </w:r>
            <w:r>
              <w:t xml:space="preserve"> revise the definition of “child” for purposes of provisions relating to juvenile justice se</w:t>
            </w:r>
            <w:r>
              <w:t>rvices and facilities as follows:</w:t>
            </w:r>
            <w:r>
              <w:t xml:space="preserve"> </w:t>
            </w:r>
          </w:p>
          <w:p w:rsidR="00307361" w:rsidRDefault="00927787" w:rsidP="00DC7AA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raises </w:t>
            </w:r>
            <w:r w:rsidRPr="005958CF">
              <w:t xml:space="preserve">from 18 years of age to 19 years of age </w:t>
            </w:r>
            <w:r>
              <w:t>the maximum age</w:t>
            </w:r>
            <w:r>
              <w:t xml:space="preserve"> </w:t>
            </w:r>
            <w:r>
              <w:t xml:space="preserve">at which </w:t>
            </w:r>
            <w:r>
              <w:t>a</w:t>
            </w:r>
            <w:r>
              <w:t xml:space="preserve">n individual </w:t>
            </w:r>
            <w:r>
              <w:t>who is 10 years of age or older is under the jurisdiction of juvenile court;</w:t>
            </w:r>
            <w:r>
              <w:t xml:space="preserve"> </w:t>
            </w:r>
          </w:p>
          <w:p w:rsidR="0085548D" w:rsidRDefault="00927787" w:rsidP="00DC7AA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removes the</w:t>
            </w:r>
            <w:r>
              <w:t xml:space="preserve"> alternative</w:t>
            </w:r>
            <w:r>
              <w:t xml:space="preserve"> definition</w:t>
            </w:r>
            <w:r>
              <w:t xml:space="preserve"> for a </w:t>
            </w:r>
            <w:r>
              <w:t>child</w:t>
            </w:r>
            <w:r>
              <w:t xml:space="preserve"> who is</w:t>
            </w:r>
            <w:r>
              <w:t xml:space="preserve"> com</w:t>
            </w:r>
            <w:r>
              <w:t>mit</w:t>
            </w:r>
            <w:r>
              <w:t>ted</w:t>
            </w:r>
            <w:r>
              <w:t xml:space="preserve"> </w:t>
            </w:r>
            <w:r>
              <w:t xml:space="preserve">to the </w:t>
            </w:r>
            <w:r w:rsidRPr="00A54139">
              <w:t>Texas</w:t>
            </w:r>
            <w:r>
              <w:t xml:space="preserve"> Juvenile Justice </w:t>
            </w:r>
            <w:r>
              <w:t xml:space="preserve">Department. </w:t>
            </w:r>
          </w:p>
          <w:p w:rsidR="00206705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06705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1364 amends the Penal Code to </w:t>
            </w:r>
            <w:r>
              <w:t xml:space="preserve">raise </w:t>
            </w:r>
            <w:r w:rsidRPr="00751A45">
              <w:t xml:space="preserve">from younger than 10 years of age to younger than 12 years of age </w:t>
            </w:r>
            <w:r>
              <w:t xml:space="preserve">the </w:t>
            </w:r>
            <w:r>
              <w:t xml:space="preserve">age </w:t>
            </w:r>
            <w:r>
              <w:t xml:space="preserve">at which a person may not be prosecuted or convicted for </w:t>
            </w:r>
            <w:r>
              <w:t xml:space="preserve">a </w:t>
            </w:r>
            <w:r w:rsidRPr="00206705">
              <w:t>fine</w:t>
            </w:r>
            <w:r>
              <w:noBreakHyphen/>
            </w:r>
            <w:r w:rsidRPr="00206705">
              <w:t>only</w:t>
            </w:r>
            <w:r>
              <w:t xml:space="preserve"> </w:t>
            </w:r>
            <w:r>
              <w:t xml:space="preserve">misdemeanor offense </w:t>
            </w:r>
            <w:r>
              <w:t xml:space="preserve">or a </w:t>
            </w:r>
            <w:r w:rsidRPr="00206705">
              <w:t>v</w:t>
            </w:r>
            <w:r>
              <w:t xml:space="preserve">iolation of a penal ordinance </w:t>
            </w:r>
            <w:r>
              <w:t>of</w:t>
            </w:r>
            <w:r w:rsidRPr="00206705">
              <w:t xml:space="preserve"> a political subdivision</w:t>
            </w:r>
            <w:r>
              <w:t xml:space="preserve">. </w:t>
            </w:r>
            <w:r>
              <w:t xml:space="preserve">The bill raises </w:t>
            </w:r>
            <w:r w:rsidRPr="00751A45">
              <w:t xml:space="preserve">from </w:t>
            </w:r>
            <w:r>
              <w:t xml:space="preserve">at least </w:t>
            </w:r>
            <w:r w:rsidRPr="00751A45">
              <w:t>10 years of age to</w:t>
            </w:r>
            <w:r>
              <w:t xml:space="preserve"> at least</w:t>
            </w:r>
            <w:r w:rsidRPr="00751A45">
              <w:t xml:space="preserve"> 12 years of </w:t>
            </w:r>
            <w:r>
              <w:t xml:space="preserve">age the </w:t>
            </w:r>
            <w:r>
              <w:t xml:space="preserve">age </w:t>
            </w:r>
            <w:r>
              <w:t xml:space="preserve">at which </w:t>
            </w:r>
            <w:r>
              <w:t>a person</w:t>
            </w:r>
            <w:r>
              <w:t xml:space="preserve"> younger than 15 years of age</w:t>
            </w:r>
            <w:r>
              <w:t xml:space="preserve"> is presumed incapable of committing </w:t>
            </w:r>
            <w:r>
              <w:t xml:space="preserve">such </w:t>
            </w:r>
            <w:r>
              <w:t>an</w:t>
            </w:r>
            <w:r>
              <w:t xml:space="preserve"> </w:t>
            </w:r>
            <w:r w:rsidRPr="00966201">
              <w:t xml:space="preserve">offense </w:t>
            </w:r>
            <w:r>
              <w:t>or violation.</w:t>
            </w:r>
            <w:r>
              <w:t xml:space="preserve"> </w:t>
            </w:r>
          </w:p>
          <w:p w:rsidR="00FC0CEB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C0CEB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1364 repeals the following provisions:</w:t>
            </w:r>
          </w:p>
          <w:p w:rsidR="00FC0CEB" w:rsidRDefault="00927787" w:rsidP="00DC7AA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Article 45.058(j), Code of Criminal Procedure</w:t>
            </w:r>
          </w:p>
          <w:p w:rsidR="00FC0CEB" w:rsidRDefault="00927787" w:rsidP="00DC7AA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37.124(d) and 37.126(c), Education Code</w:t>
            </w:r>
          </w:p>
          <w:p w:rsidR="00FC0CEB" w:rsidRDefault="00927787" w:rsidP="00DC7AA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42.01(f), Penal Code  </w:t>
            </w:r>
          </w:p>
          <w:p w:rsidR="008423E4" w:rsidRPr="00835628" w:rsidRDefault="00927787" w:rsidP="00DC7AAF">
            <w:pPr>
              <w:rPr>
                <w:b/>
              </w:rPr>
            </w:pPr>
          </w:p>
        </w:tc>
      </w:tr>
      <w:tr w:rsidR="006B4517" w:rsidTr="00345119">
        <w:tc>
          <w:tcPr>
            <w:tcW w:w="9576" w:type="dxa"/>
          </w:tcPr>
          <w:p w:rsidR="008423E4" w:rsidRPr="00A8133F" w:rsidRDefault="00927787" w:rsidP="00DC7A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27787" w:rsidP="00DC7AAF"/>
          <w:p w:rsidR="008423E4" w:rsidRPr="003624F2" w:rsidRDefault="00927787" w:rsidP="00DC7A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753B">
              <w:t>September 1, 2019.</w:t>
            </w:r>
          </w:p>
          <w:p w:rsidR="008423E4" w:rsidRPr="00233FDB" w:rsidRDefault="00927787" w:rsidP="00DC7AAF">
            <w:pPr>
              <w:rPr>
                <w:b/>
              </w:rPr>
            </w:pPr>
          </w:p>
        </w:tc>
      </w:tr>
      <w:tr w:rsidR="006B4517" w:rsidTr="00345119">
        <w:tc>
          <w:tcPr>
            <w:tcW w:w="9576" w:type="dxa"/>
          </w:tcPr>
          <w:p w:rsidR="00631616" w:rsidRDefault="00927787" w:rsidP="00DC7A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83622C" w:rsidRPr="00DC7AAF" w:rsidRDefault="00927787" w:rsidP="00DC7AAF">
            <w:pPr>
              <w:jc w:val="both"/>
              <w:rPr>
                <w:sz w:val="20"/>
              </w:rPr>
            </w:pPr>
          </w:p>
          <w:p w:rsidR="0083622C" w:rsidRDefault="00927787" w:rsidP="00DC7AAF">
            <w:pPr>
              <w:jc w:val="both"/>
            </w:pPr>
            <w:r>
              <w:t>While C.S.H.B. 1364 may differ from the original in minor or nonsubstantive ways, the following summarizes the substantial differences between the introduced and committee substitute versions of the bill.</w:t>
            </w:r>
          </w:p>
          <w:p w:rsidR="0083622C" w:rsidRPr="00DC7AAF" w:rsidRDefault="00927787" w:rsidP="00DC7AAF">
            <w:pPr>
              <w:jc w:val="both"/>
              <w:rPr>
                <w:sz w:val="20"/>
              </w:rPr>
            </w:pPr>
          </w:p>
          <w:p w:rsidR="0083622C" w:rsidRDefault="00927787" w:rsidP="00DC7AAF">
            <w:pPr>
              <w:jc w:val="both"/>
            </w:pPr>
            <w:r>
              <w:t xml:space="preserve">The substitute </w:t>
            </w:r>
            <w:r>
              <w:t>changes th</w:t>
            </w:r>
            <w:r>
              <w:t xml:space="preserve">e definition of “child” for purposes of certain conduct under the juvenile justice code and for purposes of provisions relating to juvenile justice services and facilities. </w:t>
            </w:r>
          </w:p>
          <w:p w:rsidR="0083622C" w:rsidRPr="00DC7AAF" w:rsidRDefault="00927787" w:rsidP="00DC7AAF">
            <w:pPr>
              <w:jc w:val="both"/>
              <w:rPr>
                <w:sz w:val="20"/>
              </w:rPr>
            </w:pPr>
          </w:p>
          <w:p w:rsidR="00791276" w:rsidRDefault="00927787" w:rsidP="00DC7AAF">
            <w:pPr>
              <w:jc w:val="both"/>
            </w:pPr>
            <w:r>
              <w:t>The substitute includes a provision requiring a child younger than 12 years of ag</w:t>
            </w:r>
            <w:r>
              <w:t>e to be released from custody unless</w:t>
            </w:r>
            <w:r w:rsidRPr="00DB06B5">
              <w:t xml:space="preserve"> the child poses an immediate threat to public safe</w:t>
            </w:r>
            <w:r>
              <w:t>ty or to the child's own safety</w:t>
            </w:r>
            <w:r>
              <w:t xml:space="preserve"> and </w:t>
            </w:r>
            <w:r>
              <w:t>a provision relating to</w:t>
            </w:r>
            <w:r>
              <w:t xml:space="preserve"> a </w:t>
            </w:r>
            <w:r>
              <w:t xml:space="preserve">jurisdictional </w:t>
            </w:r>
            <w:r>
              <w:t>hearing</w:t>
            </w:r>
            <w:r>
              <w:t xml:space="preserve"> </w:t>
            </w:r>
            <w:r>
              <w:t>for</w:t>
            </w:r>
            <w:r>
              <w:t xml:space="preserve"> a</w:t>
            </w:r>
            <w:r>
              <w:t xml:space="preserve"> child younger than 12 years of age. </w:t>
            </w:r>
          </w:p>
          <w:p w:rsidR="00791276" w:rsidRPr="00DC7AAF" w:rsidRDefault="00927787" w:rsidP="00DC7AAF">
            <w:pPr>
              <w:jc w:val="both"/>
              <w:rPr>
                <w:sz w:val="20"/>
              </w:rPr>
            </w:pPr>
          </w:p>
          <w:p w:rsidR="0083622C" w:rsidRPr="0083622C" w:rsidRDefault="00927787" w:rsidP="00DC7AAF">
            <w:pPr>
              <w:spacing w:before="120" w:after="120"/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 xml:space="preserve">provision </w:t>
            </w:r>
            <w:r>
              <w:t xml:space="preserve">defining “juvenile” </w:t>
            </w:r>
            <w:r w:rsidRPr="00156BFE">
              <w:t>for purposes of statutory provisions relating to residential facilities for certain delinquent childre</w:t>
            </w:r>
            <w:r>
              <w:t>n</w:t>
            </w:r>
            <w:r>
              <w:t xml:space="preserve"> or</w:t>
            </w:r>
            <w:r>
              <w:t xml:space="preserve"> a </w:t>
            </w:r>
            <w:r>
              <w:t xml:space="preserve">juvenile justice code </w:t>
            </w:r>
            <w:r>
              <w:t xml:space="preserve">provision </w:t>
            </w:r>
            <w:r>
              <w:t xml:space="preserve">relating to the authority of the juvenile court to waive its exclusive jurisdiction </w:t>
            </w:r>
            <w:r>
              <w:t>a</w:t>
            </w:r>
            <w:r>
              <w:t xml:space="preserve">nd transfer a person to the appropriate court. </w:t>
            </w:r>
          </w:p>
        </w:tc>
      </w:tr>
    </w:tbl>
    <w:p w:rsidR="004108C3" w:rsidRPr="00DC7AAF" w:rsidRDefault="00927787" w:rsidP="008423E4">
      <w:pPr>
        <w:rPr>
          <w:sz w:val="4"/>
        </w:rPr>
      </w:pPr>
    </w:p>
    <w:sectPr w:rsidR="004108C3" w:rsidRPr="00DC7AA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7787">
      <w:r>
        <w:separator/>
      </w:r>
    </w:p>
  </w:endnote>
  <w:endnote w:type="continuationSeparator" w:id="0">
    <w:p w:rsidR="00000000" w:rsidRDefault="0092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4517" w:rsidTr="009C1E9A">
      <w:trPr>
        <w:cantSplit/>
      </w:trPr>
      <w:tc>
        <w:tcPr>
          <w:tcW w:w="0" w:type="pct"/>
        </w:tcPr>
        <w:p w:rsidR="00137D90" w:rsidRDefault="00927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27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277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27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27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4517" w:rsidTr="009C1E9A">
      <w:trPr>
        <w:cantSplit/>
      </w:trPr>
      <w:tc>
        <w:tcPr>
          <w:tcW w:w="0" w:type="pct"/>
        </w:tcPr>
        <w:p w:rsidR="00EC379B" w:rsidRDefault="009277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277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21121</w:t>
          </w:r>
        </w:p>
      </w:tc>
      <w:tc>
        <w:tcPr>
          <w:tcW w:w="2453" w:type="pct"/>
        </w:tcPr>
        <w:p w:rsidR="00EC379B" w:rsidRDefault="00927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19.80.1114</w:t>
          </w:r>
          <w:r>
            <w:fldChar w:fldCharType="end"/>
          </w:r>
        </w:p>
      </w:tc>
    </w:tr>
    <w:tr w:rsidR="006B4517" w:rsidTr="009C1E9A">
      <w:trPr>
        <w:cantSplit/>
      </w:trPr>
      <w:tc>
        <w:tcPr>
          <w:tcW w:w="0" w:type="pct"/>
        </w:tcPr>
        <w:p w:rsidR="00EC379B" w:rsidRDefault="00927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277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18198</w:t>
          </w:r>
        </w:p>
      </w:tc>
      <w:tc>
        <w:tcPr>
          <w:tcW w:w="2453" w:type="pct"/>
        </w:tcPr>
        <w:p w:rsidR="00EC379B" w:rsidRDefault="00927787" w:rsidP="006D504F">
          <w:pPr>
            <w:pStyle w:val="Footer"/>
            <w:rPr>
              <w:rStyle w:val="PageNumber"/>
            </w:rPr>
          </w:pPr>
        </w:p>
        <w:p w:rsidR="00EC379B" w:rsidRDefault="009277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45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277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277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277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7787">
      <w:r>
        <w:separator/>
      </w:r>
    </w:p>
  </w:footnote>
  <w:footnote w:type="continuationSeparator" w:id="0">
    <w:p w:rsidR="00000000" w:rsidRDefault="0092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27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28DC"/>
    <w:multiLevelType w:val="hybridMultilevel"/>
    <w:tmpl w:val="7EBA2CC2"/>
    <w:lvl w:ilvl="0" w:tplc="2104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4F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CE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08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4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4B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2F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46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44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F3F42"/>
    <w:multiLevelType w:val="hybridMultilevel"/>
    <w:tmpl w:val="01FEB226"/>
    <w:lvl w:ilvl="0" w:tplc="9C8A0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61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2F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0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86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41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A4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8F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64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0E9"/>
    <w:multiLevelType w:val="hybridMultilevel"/>
    <w:tmpl w:val="7A5CB6FC"/>
    <w:lvl w:ilvl="0" w:tplc="1092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86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05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46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D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05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AF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0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EC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4C7B"/>
    <w:multiLevelType w:val="hybridMultilevel"/>
    <w:tmpl w:val="A468BA40"/>
    <w:lvl w:ilvl="0" w:tplc="E6528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A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23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20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3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8B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A7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C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61E70"/>
    <w:multiLevelType w:val="hybridMultilevel"/>
    <w:tmpl w:val="7862EC18"/>
    <w:lvl w:ilvl="0" w:tplc="E5C6799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C6E0FF82" w:tentative="1">
      <w:start w:val="1"/>
      <w:numFmt w:val="lowerLetter"/>
      <w:lvlText w:val="%2."/>
      <w:lvlJc w:val="left"/>
      <w:pPr>
        <w:ind w:left="1440" w:hanging="360"/>
      </w:pPr>
    </w:lvl>
    <w:lvl w:ilvl="2" w:tplc="B7827722" w:tentative="1">
      <w:start w:val="1"/>
      <w:numFmt w:val="lowerRoman"/>
      <w:lvlText w:val="%3."/>
      <w:lvlJc w:val="right"/>
      <w:pPr>
        <w:ind w:left="2160" w:hanging="180"/>
      </w:pPr>
    </w:lvl>
    <w:lvl w:ilvl="3" w:tplc="BCD6D158" w:tentative="1">
      <w:start w:val="1"/>
      <w:numFmt w:val="decimal"/>
      <w:lvlText w:val="%4."/>
      <w:lvlJc w:val="left"/>
      <w:pPr>
        <w:ind w:left="2880" w:hanging="360"/>
      </w:pPr>
    </w:lvl>
    <w:lvl w:ilvl="4" w:tplc="D806E7A6" w:tentative="1">
      <w:start w:val="1"/>
      <w:numFmt w:val="lowerLetter"/>
      <w:lvlText w:val="%5."/>
      <w:lvlJc w:val="left"/>
      <w:pPr>
        <w:ind w:left="3600" w:hanging="360"/>
      </w:pPr>
    </w:lvl>
    <w:lvl w:ilvl="5" w:tplc="912CF0B0" w:tentative="1">
      <w:start w:val="1"/>
      <w:numFmt w:val="lowerRoman"/>
      <w:lvlText w:val="%6."/>
      <w:lvlJc w:val="right"/>
      <w:pPr>
        <w:ind w:left="4320" w:hanging="180"/>
      </w:pPr>
    </w:lvl>
    <w:lvl w:ilvl="6" w:tplc="0F0E008A" w:tentative="1">
      <w:start w:val="1"/>
      <w:numFmt w:val="decimal"/>
      <w:lvlText w:val="%7."/>
      <w:lvlJc w:val="left"/>
      <w:pPr>
        <w:ind w:left="5040" w:hanging="360"/>
      </w:pPr>
    </w:lvl>
    <w:lvl w:ilvl="7" w:tplc="2BCEF3EE" w:tentative="1">
      <w:start w:val="1"/>
      <w:numFmt w:val="lowerLetter"/>
      <w:lvlText w:val="%8."/>
      <w:lvlJc w:val="left"/>
      <w:pPr>
        <w:ind w:left="5760" w:hanging="360"/>
      </w:pPr>
    </w:lvl>
    <w:lvl w:ilvl="8" w:tplc="70D64F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7"/>
    <w:rsid w:val="006B4517"/>
    <w:rsid w:val="009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BEF9C0-710A-4EB2-BF2A-F96D59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1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45C"/>
    <w:rPr>
      <w:b/>
      <w:bCs/>
    </w:rPr>
  </w:style>
  <w:style w:type="paragraph" w:styleId="Revision">
    <w:name w:val="Revision"/>
    <w:hidden/>
    <w:uiPriority w:val="99"/>
    <w:semiHidden/>
    <w:rsid w:val="0093145C"/>
    <w:rPr>
      <w:sz w:val="24"/>
      <w:szCs w:val="24"/>
    </w:rPr>
  </w:style>
  <w:style w:type="character" w:customStyle="1" w:styleId="searchhit">
    <w:name w:val="searchhit"/>
    <w:basedOn w:val="DefaultParagraphFont"/>
    <w:rsid w:val="004B4174"/>
  </w:style>
  <w:style w:type="character" w:styleId="Hyperlink">
    <w:name w:val="Hyperlink"/>
    <w:basedOn w:val="DefaultParagraphFont"/>
    <w:unhideWhenUsed/>
    <w:rsid w:val="006D2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D25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4829</Characters>
  <Application>Microsoft Office Word</Application>
  <DocSecurity>4</DocSecurity>
  <Lines>108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HB01364 (Committee Report (Substituted))</vt:lpstr>
    </vt:vector>
  </TitlesOfParts>
  <Company>State of Texas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21121</dc:subject>
  <dc:creator>State of Texas</dc:creator>
  <dc:description>HB 1364 by Wu-(H)Juvenile Justice &amp; Family Issues (Substitute Document Number: 86R 18198)</dc:description>
  <cp:lastModifiedBy>Scotty Wimberley</cp:lastModifiedBy>
  <cp:revision>2</cp:revision>
  <cp:lastPrinted>2003-11-26T17:21:00Z</cp:lastPrinted>
  <dcterms:created xsi:type="dcterms:W3CDTF">2019-04-01T20:08:00Z</dcterms:created>
  <dcterms:modified xsi:type="dcterms:W3CDTF">2019-04-01T20:08:00Z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19.80.1114</vt:lpwstr>
  </property>
</Properties>
</file>