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81785E" w:rsidTr="00345119">
        <w:tc>
          <w:tcPr>
            <w:tcW w:w="9576" w:type="dxa"/>
            <w:noWrap/>
          </w:tcPr>
          <w:p w:rsidR="008423E4" w:rsidRPr="00C0735B" w:rsidRDefault="00EB1F2F" w:rsidP="00345119">
            <w:pPr>
              <w:pStyle w:val="Heading1"/>
            </w:pPr>
            <w:bookmarkStart w:id="0" w:name="_GoBack"/>
            <w:bookmarkEnd w:id="0"/>
            <w:r w:rsidRPr="00C0735B">
              <w:t>BILL ANALYSIS</w:t>
            </w:r>
          </w:p>
        </w:tc>
      </w:tr>
    </w:tbl>
    <w:p w:rsidR="008423E4" w:rsidRPr="00C0735B" w:rsidRDefault="00EB1F2F" w:rsidP="008423E4">
      <w:pPr>
        <w:jc w:val="center"/>
      </w:pPr>
    </w:p>
    <w:p w:rsidR="008423E4" w:rsidRPr="00C0735B" w:rsidRDefault="00EB1F2F" w:rsidP="008423E4"/>
    <w:p w:rsidR="008423E4" w:rsidRPr="00C0735B" w:rsidRDefault="00EB1F2F" w:rsidP="008423E4">
      <w:pPr>
        <w:tabs>
          <w:tab w:val="right" w:pos="9360"/>
        </w:tabs>
      </w:pPr>
    </w:p>
    <w:tbl>
      <w:tblPr>
        <w:tblW w:w="0" w:type="auto"/>
        <w:tblLayout w:type="fixed"/>
        <w:tblLook w:val="01E0" w:firstRow="1" w:lastRow="1" w:firstColumn="1" w:lastColumn="1" w:noHBand="0" w:noVBand="0"/>
      </w:tblPr>
      <w:tblGrid>
        <w:gridCol w:w="9576"/>
      </w:tblGrid>
      <w:tr w:rsidR="0081785E" w:rsidTr="00345119">
        <w:tc>
          <w:tcPr>
            <w:tcW w:w="9576" w:type="dxa"/>
          </w:tcPr>
          <w:p w:rsidR="008423E4" w:rsidRPr="00C0735B" w:rsidRDefault="00EB1F2F" w:rsidP="00345119">
            <w:pPr>
              <w:jc w:val="right"/>
            </w:pPr>
            <w:r>
              <w:t>H.B. 1367</w:t>
            </w:r>
          </w:p>
        </w:tc>
      </w:tr>
      <w:tr w:rsidR="0081785E" w:rsidTr="00345119">
        <w:tc>
          <w:tcPr>
            <w:tcW w:w="9576" w:type="dxa"/>
          </w:tcPr>
          <w:p w:rsidR="008423E4" w:rsidRPr="00C0735B" w:rsidRDefault="00EB1F2F" w:rsidP="009A50C9">
            <w:pPr>
              <w:jc w:val="right"/>
            </w:pPr>
            <w:r w:rsidRPr="00C0735B">
              <w:t xml:space="preserve">By: </w:t>
            </w:r>
            <w:r>
              <w:t>Harris</w:t>
            </w:r>
          </w:p>
        </w:tc>
      </w:tr>
      <w:tr w:rsidR="0081785E" w:rsidTr="00345119">
        <w:tc>
          <w:tcPr>
            <w:tcW w:w="9576" w:type="dxa"/>
          </w:tcPr>
          <w:p w:rsidR="008423E4" w:rsidRPr="00C0735B" w:rsidRDefault="00EB1F2F" w:rsidP="00345119">
            <w:pPr>
              <w:jc w:val="right"/>
            </w:pPr>
            <w:r>
              <w:t>Land &amp; Resource Management</w:t>
            </w:r>
          </w:p>
        </w:tc>
      </w:tr>
      <w:tr w:rsidR="0081785E" w:rsidTr="00345119">
        <w:tc>
          <w:tcPr>
            <w:tcW w:w="9576" w:type="dxa"/>
          </w:tcPr>
          <w:p w:rsidR="008423E4" w:rsidRPr="00C0735B" w:rsidRDefault="00EB1F2F" w:rsidP="00345119">
            <w:pPr>
              <w:jc w:val="right"/>
            </w:pPr>
            <w:r>
              <w:t>Committee Report (Unamended)</w:t>
            </w:r>
          </w:p>
        </w:tc>
      </w:tr>
    </w:tbl>
    <w:p w:rsidR="008423E4" w:rsidRPr="00C0735B" w:rsidRDefault="00EB1F2F" w:rsidP="008423E4">
      <w:pPr>
        <w:tabs>
          <w:tab w:val="right" w:pos="9360"/>
        </w:tabs>
      </w:pPr>
    </w:p>
    <w:p w:rsidR="008423E4" w:rsidRPr="00C0735B" w:rsidRDefault="00EB1F2F" w:rsidP="008423E4"/>
    <w:p w:rsidR="008423E4" w:rsidRPr="00C0735B" w:rsidRDefault="00EB1F2F" w:rsidP="008423E4"/>
    <w:tbl>
      <w:tblPr>
        <w:tblW w:w="0" w:type="auto"/>
        <w:tblCellMar>
          <w:left w:w="115" w:type="dxa"/>
          <w:right w:w="115" w:type="dxa"/>
        </w:tblCellMar>
        <w:tblLook w:val="01E0" w:firstRow="1" w:lastRow="1" w:firstColumn="1" w:lastColumn="1" w:noHBand="0" w:noVBand="0"/>
      </w:tblPr>
      <w:tblGrid>
        <w:gridCol w:w="9576"/>
      </w:tblGrid>
      <w:tr w:rsidR="0081785E" w:rsidTr="00345119">
        <w:tc>
          <w:tcPr>
            <w:tcW w:w="9576" w:type="dxa"/>
          </w:tcPr>
          <w:p w:rsidR="008423E4" w:rsidRPr="00C0735B" w:rsidRDefault="00EB1F2F" w:rsidP="00C847E5">
            <w:pPr>
              <w:rPr>
                <w:b/>
              </w:rPr>
            </w:pPr>
            <w:r w:rsidRPr="00C0735B">
              <w:rPr>
                <w:b/>
                <w:u w:val="single"/>
              </w:rPr>
              <w:t>BACKGROUND AND PURPOSE</w:t>
            </w:r>
            <w:r w:rsidRPr="00C0735B">
              <w:rPr>
                <w:b/>
              </w:rPr>
              <w:t xml:space="preserve"> </w:t>
            </w:r>
          </w:p>
          <w:p w:rsidR="008423E4" w:rsidRPr="00C0735B" w:rsidRDefault="00EB1F2F" w:rsidP="00C847E5"/>
          <w:p w:rsidR="008423E4" w:rsidRPr="00C0735B" w:rsidRDefault="00EB1F2F" w:rsidP="00C847E5">
            <w:pPr>
              <w:pStyle w:val="Header"/>
              <w:jc w:val="both"/>
            </w:pPr>
            <w:r>
              <w:t xml:space="preserve">Concerns have been raised regarding the threat of eminent domain in relation to the development of high-speed rail projects in Texas. </w:t>
            </w:r>
            <w:r>
              <w:t xml:space="preserve">It has been </w:t>
            </w:r>
            <w:r>
              <w:t>suggested</w:t>
            </w:r>
            <w:r>
              <w:t xml:space="preserve"> that some property owners fear their property will be </w:t>
            </w:r>
            <w:r>
              <w:t xml:space="preserve">not only be </w:t>
            </w:r>
            <w:r>
              <w:t xml:space="preserve">condemned </w:t>
            </w:r>
            <w:r>
              <w:t>in service of this devel</w:t>
            </w:r>
            <w:r>
              <w:t>opment but</w:t>
            </w:r>
            <w:r>
              <w:t xml:space="preserve"> used later for a</w:t>
            </w:r>
            <w:r>
              <w:t>n entirely</w:t>
            </w:r>
            <w:r>
              <w:t xml:space="preserve"> different purpose</w:t>
            </w:r>
            <w:r>
              <w:t>. H.B. 1367 seeks to</w:t>
            </w:r>
            <w:r>
              <w:t xml:space="preserve"> protect private property rights </w:t>
            </w:r>
            <w:r>
              <w:t xml:space="preserve">and provide </w:t>
            </w:r>
            <w:r>
              <w:t xml:space="preserve">property owners </w:t>
            </w:r>
            <w:r>
              <w:t xml:space="preserve">assurances </w:t>
            </w:r>
            <w:r>
              <w:t>regarding their property and eminent domain</w:t>
            </w:r>
            <w:r>
              <w:t xml:space="preserve"> by prohibiting the use of </w:t>
            </w:r>
            <w:r>
              <w:t>property acquired for these projects</w:t>
            </w:r>
            <w:r>
              <w:t xml:space="preserve"> fo</w:t>
            </w:r>
            <w:r>
              <w:t xml:space="preserve">r </w:t>
            </w:r>
            <w:r>
              <w:t>any other purpose</w:t>
            </w:r>
            <w:r>
              <w:t xml:space="preserve"> and providing </w:t>
            </w:r>
            <w:r>
              <w:t>the owners</w:t>
            </w:r>
            <w:r>
              <w:t xml:space="preserve"> an opportunity to repurchase </w:t>
            </w:r>
            <w:r>
              <w:t xml:space="preserve">the </w:t>
            </w:r>
            <w:r>
              <w:t>property in certain circu</w:t>
            </w:r>
            <w:r>
              <w:t>mstances</w:t>
            </w:r>
            <w:r>
              <w:t>.</w:t>
            </w:r>
          </w:p>
          <w:p w:rsidR="008423E4" w:rsidRPr="00275211" w:rsidRDefault="00EB1F2F" w:rsidP="00C847E5">
            <w:pPr>
              <w:rPr>
                <w:b/>
                <w:sz w:val="20"/>
              </w:rPr>
            </w:pPr>
          </w:p>
        </w:tc>
      </w:tr>
      <w:tr w:rsidR="0081785E" w:rsidTr="00345119">
        <w:tc>
          <w:tcPr>
            <w:tcW w:w="9576" w:type="dxa"/>
          </w:tcPr>
          <w:p w:rsidR="0017725B" w:rsidRPr="00C0735B" w:rsidRDefault="00EB1F2F" w:rsidP="00C847E5">
            <w:pPr>
              <w:rPr>
                <w:b/>
                <w:u w:val="single"/>
              </w:rPr>
            </w:pPr>
            <w:r w:rsidRPr="00C0735B">
              <w:rPr>
                <w:b/>
                <w:u w:val="single"/>
              </w:rPr>
              <w:t>CRIMINAL JUSTICE IMPACT</w:t>
            </w:r>
          </w:p>
          <w:p w:rsidR="0017725B" w:rsidRPr="00275211" w:rsidRDefault="00EB1F2F" w:rsidP="00C847E5">
            <w:pPr>
              <w:rPr>
                <w:b/>
                <w:sz w:val="20"/>
                <w:u w:val="single"/>
              </w:rPr>
            </w:pPr>
          </w:p>
          <w:p w:rsidR="009745CF" w:rsidRPr="00C0735B" w:rsidRDefault="00EB1F2F" w:rsidP="00C847E5">
            <w:pPr>
              <w:jc w:val="both"/>
            </w:pPr>
            <w:r w:rsidRPr="00C0735B">
              <w:t>It is the committee's opinion that this bill does not expressly create a criminal offense, increase the punishment f</w:t>
            </w:r>
            <w:r w:rsidRPr="00C0735B">
              <w:t>or an existing criminal offense or category of offenses, or change the eligibility of a person for community supervision, parole, or mandatory supervision.</w:t>
            </w:r>
          </w:p>
          <w:p w:rsidR="0017725B" w:rsidRPr="00275211" w:rsidRDefault="00EB1F2F" w:rsidP="00C847E5">
            <w:pPr>
              <w:rPr>
                <w:b/>
                <w:sz w:val="20"/>
                <w:u w:val="single"/>
              </w:rPr>
            </w:pPr>
          </w:p>
        </w:tc>
      </w:tr>
      <w:tr w:rsidR="0081785E" w:rsidTr="00345119">
        <w:tc>
          <w:tcPr>
            <w:tcW w:w="9576" w:type="dxa"/>
          </w:tcPr>
          <w:p w:rsidR="008423E4" w:rsidRPr="00C0735B" w:rsidRDefault="00EB1F2F" w:rsidP="00C847E5">
            <w:pPr>
              <w:rPr>
                <w:b/>
              </w:rPr>
            </w:pPr>
            <w:r w:rsidRPr="00C0735B">
              <w:rPr>
                <w:b/>
                <w:u w:val="single"/>
              </w:rPr>
              <w:t>RULEMAKING AUTHORITY</w:t>
            </w:r>
            <w:r w:rsidRPr="00C0735B">
              <w:rPr>
                <w:b/>
              </w:rPr>
              <w:t xml:space="preserve"> </w:t>
            </w:r>
          </w:p>
          <w:p w:rsidR="008423E4" w:rsidRPr="00275211" w:rsidRDefault="00EB1F2F" w:rsidP="00C847E5">
            <w:pPr>
              <w:rPr>
                <w:sz w:val="20"/>
              </w:rPr>
            </w:pPr>
          </w:p>
          <w:p w:rsidR="009745CF" w:rsidRPr="00C0735B" w:rsidRDefault="00EB1F2F" w:rsidP="00C847E5">
            <w:pPr>
              <w:pStyle w:val="Header"/>
              <w:tabs>
                <w:tab w:val="clear" w:pos="4320"/>
                <w:tab w:val="clear" w:pos="8640"/>
              </w:tabs>
              <w:jc w:val="both"/>
            </w:pPr>
            <w:r w:rsidRPr="00C0735B">
              <w:t xml:space="preserve">It is the committee's opinion that this bill does not expressly grant any </w:t>
            </w:r>
            <w:r w:rsidRPr="00C0735B">
              <w:t>additional rulemaking authority to a state officer, department, agency, or institution.</w:t>
            </w:r>
          </w:p>
          <w:p w:rsidR="008423E4" w:rsidRPr="00275211" w:rsidRDefault="00EB1F2F" w:rsidP="00C847E5">
            <w:pPr>
              <w:rPr>
                <w:b/>
                <w:sz w:val="20"/>
              </w:rPr>
            </w:pPr>
          </w:p>
        </w:tc>
      </w:tr>
      <w:tr w:rsidR="0081785E" w:rsidTr="00345119">
        <w:tc>
          <w:tcPr>
            <w:tcW w:w="9576" w:type="dxa"/>
          </w:tcPr>
          <w:p w:rsidR="008423E4" w:rsidRPr="00C0735B" w:rsidRDefault="00EB1F2F" w:rsidP="00C847E5">
            <w:pPr>
              <w:rPr>
                <w:b/>
              </w:rPr>
            </w:pPr>
            <w:r w:rsidRPr="00C0735B">
              <w:rPr>
                <w:b/>
                <w:u w:val="single"/>
              </w:rPr>
              <w:t>ANALYSIS</w:t>
            </w:r>
            <w:r w:rsidRPr="00C0735B">
              <w:rPr>
                <w:b/>
              </w:rPr>
              <w:t xml:space="preserve"> </w:t>
            </w:r>
          </w:p>
          <w:p w:rsidR="008423E4" w:rsidRPr="00275211" w:rsidRDefault="00EB1F2F" w:rsidP="00C847E5">
            <w:pPr>
              <w:rPr>
                <w:sz w:val="20"/>
              </w:rPr>
            </w:pPr>
          </w:p>
          <w:p w:rsidR="00012637" w:rsidRDefault="00EB1F2F" w:rsidP="00C847E5">
            <w:pPr>
              <w:pStyle w:val="Header"/>
              <w:jc w:val="both"/>
            </w:pPr>
            <w:r w:rsidRPr="00C0735B">
              <w:t xml:space="preserve">H.B. 1367 amends the Transportation Code to </w:t>
            </w:r>
            <w:r w:rsidRPr="00C0735B">
              <w:t>prohibit a private entity</w:t>
            </w:r>
            <w:r w:rsidRPr="00C0735B">
              <w:t xml:space="preserve"> that</w:t>
            </w:r>
            <w:r w:rsidRPr="00C0735B">
              <w:t xml:space="preserve"> </w:t>
            </w:r>
            <w:r w:rsidRPr="00C0735B">
              <w:t>operates or plans to operate a high-speed rail project, represents itself as hav</w:t>
            </w:r>
            <w:r w:rsidRPr="00C0735B">
              <w:t xml:space="preserve">ing the power of eminent domain, and acquires real property for a high-speed rail project from using the property for any purpose other than a high-speed rail project. </w:t>
            </w:r>
            <w:r w:rsidRPr="00C0735B">
              <w:t>The bill</w:t>
            </w:r>
            <w:r w:rsidRPr="00C0735B">
              <w:t xml:space="preserve"> entitles a person from whom real property is acquired by </w:t>
            </w:r>
            <w:r w:rsidRPr="00C0735B">
              <w:t xml:space="preserve">such </w:t>
            </w:r>
            <w:r w:rsidRPr="00C0735B">
              <w:t>a private entity</w:t>
            </w:r>
            <w:r w:rsidRPr="00C0735B">
              <w:t xml:space="preserve"> </w:t>
            </w:r>
            <w:r w:rsidRPr="00C0735B">
              <w:t>for a high-speed rail project</w:t>
            </w:r>
            <w:r w:rsidRPr="00C0735B">
              <w:t xml:space="preserve">, and the person's heirs, successors, and assigns, to notice and opportunity to repurchase the property before all other purchasers for the price paid to the owner by the entity at the time the entity acquired the property </w:t>
            </w:r>
            <w:r>
              <w:t>unde</w:t>
            </w:r>
            <w:r>
              <w:t xml:space="preserve">r </w:t>
            </w:r>
            <w:r w:rsidRPr="00C0735B">
              <w:t xml:space="preserve">certain </w:t>
            </w:r>
            <w:r>
              <w:t>circumstances</w:t>
            </w:r>
            <w:r w:rsidRPr="00C0735B">
              <w:t xml:space="preserve">. </w:t>
            </w:r>
            <w:r w:rsidRPr="00C0735B">
              <w:t xml:space="preserve">The bill exempts from the applicability of these provisions real property acquired by </w:t>
            </w:r>
            <w:r w:rsidRPr="00C0735B">
              <w:t xml:space="preserve">such </w:t>
            </w:r>
            <w:r w:rsidRPr="00C0735B">
              <w:t>a private entity that is not acquired through a</w:t>
            </w:r>
            <w:r w:rsidRPr="00C0735B">
              <w:t>n eminent domain</w:t>
            </w:r>
            <w:r w:rsidRPr="00C0735B">
              <w:t xml:space="preserve"> condemnation proceeding if, before the acquisition of the property</w:t>
            </w:r>
            <w:r>
              <w:t>:</w:t>
            </w:r>
            <w:r w:rsidRPr="00C0735B">
              <w:t xml:space="preserve"> </w:t>
            </w:r>
          </w:p>
          <w:p w:rsidR="00012637" w:rsidRDefault="00EB1F2F" w:rsidP="00C847E5">
            <w:pPr>
              <w:pStyle w:val="Header"/>
              <w:numPr>
                <w:ilvl w:val="0"/>
                <w:numId w:val="1"/>
              </w:numPr>
              <w:spacing w:before="120" w:after="120"/>
              <w:jc w:val="both"/>
            </w:pPr>
            <w:r w:rsidRPr="00C0735B">
              <w:t>the ent</w:t>
            </w:r>
            <w:r w:rsidRPr="00C0735B">
              <w:t>ity acquiring the property gives written notice to the person from whom the property is to be acquired that the property may be used for a purpose other than a high-speed rail project</w:t>
            </w:r>
            <w:r>
              <w:t>;</w:t>
            </w:r>
            <w:r w:rsidRPr="00C0735B">
              <w:t xml:space="preserve"> and </w:t>
            </w:r>
          </w:p>
          <w:p w:rsidR="00012637" w:rsidRDefault="00EB1F2F" w:rsidP="00C847E5">
            <w:pPr>
              <w:pStyle w:val="Header"/>
              <w:numPr>
                <w:ilvl w:val="0"/>
                <w:numId w:val="1"/>
              </w:numPr>
              <w:spacing w:before="120" w:after="120"/>
              <w:jc w:val="both"/>
            </w:pPr>
            <w:r w:rsidRPr="00C0735B">
              <w:t>the person from whom the property is to be acquired signs a statem</w:t>
            </w:r>
            <w:r w:rsidRPr="00C0735B">
              <w:t>ent acknowledging that the written notice was given.</w:t>
            </w:r>
            <w:r w:rsidRPr="00C0735B">
              <w:t xml:space="preserve"> </w:t>
            </w:r>
          </w:p>
          <w:p w:rsidR="000771DD" w:rsidRPr="00C0735B" w:rsidRDefault="00EB1F2F" w:rsidP="00C847E5">
            <w:pPr>
              <w:pStyle w:val="Header"/>
              <w:spacing w:before="120" w:after="120"/>
              <w:jc w:val="both"/>
            </w:pPr>
            <w:r w:rsidRPr="00C0735B">
              <w:t>The bill's provisions expressly do not affect the rights of a person from whom real property is acquired under eminent domain or any statutory right of an entity with the power of eminent domain.</w:t>
            </w:r>
            <w:r w:rsidRPr="00C0735B">
              <w:t xml:space="preserve"> The bi</w:t>
            </w:r>
            <w:r w:rsidRPr="00C0735B">
              <w:t>ll establishes that the notice and repurchase entitlement under the bill's provisions</w:t>
            </w:r>
            <w:r w:rsidRPr="00C0735B">
              <w:t xml:space="preserve"> </w:t>
            </w:r>
            <w:r w:rsidRPr="00C0735B">
              <w:t xml:space="preserve">follows the timelines and processes for notice and repurchase under statutory provisions relating to eminent domain. The bill </w:t>
            </w:r>
            <w:r>
              <w:t>applies</w:t>
            </w:r>
            <w:r w:rsidRPr="00C0735B">
              <w:t xml:space="preserve"> to a private entity that represents </w:t>
            </w:r>
            <w:r w:rsidRPr="00C0735B">
              <w:t>itself as a railroad, whether or not the entity is a railroad, or as another entity that may exercise the power of eminent domain.</w:t>
            </w:r>
            <w:r w:rsidRPr="00C0735B">
              <w:t xml:space="preserve">  </w:t>
            </w:r>
          </w:p>
          <w:p w:rsidR="008423E4" w:rsidRPr="00C0735B" w:rsidRDefault="00EB1F2F" w:rsidP="00C847E5">
            <w:pPr>
              <w:rPr>
                <w:b/>
              </w:rPr>
            </w:pPr>
          </w:p>
        </w:tc>
      </w:tr>
      <w:tr w:rsidR="0081785E" w:rsidTr="00345119">
        <w:tc>
          <w:tcPr>
            <w:tcW w:w="9576" w:type="dxa"/>
          </w:tcPr>
          <w:p w:rsidR="008423E4" w:rsidRPr="00C0735B" w:rsidRDefault="00EB1F2F" w:rsidP="00C847E5">
            <w:pPr>
              <w:rPr>
                <w:b/>
              </w:rPr>
            </w:pPr>
            <w:r w:rsidRPr="00C0735B">
              <w:rPr>
                <w:b/>
                <w:u w:val="single"/>
              </w:rPr>
              <w:t>EFFECTIVE DATE</w:t>
            </w:r>
            <w:r w:rsidRPr="00C0735B">
              <w:rPr>
                <w:b/>
              </w:rPr>
              <w:t xml:space="preserve"> </w:t>
            </w:r>
          </w:p>
          <w:p w:rsidR="008423E4" w:rsidRPr="00C0735B" w:rsidRDefault="00EB1F2F" w:rsidP="00C847E5"/>
          <w:p w:rsidR="008423E4" w:rsidRPr="003624F2" w:rsidRDefault="00EB1F2F" w:rsidP="00C847E5">
            <w:pPr>
              <w:pStyle w:val="Header"/>
              <w:tabs>
                <w:tab w:val="clear" w:pos="4320"/>
                <w:tab w:val="clear" w:pos="8640"/>
              </w:tabs>
              <w:jc w:val="both"/>
            </w:pPr>
            <w:r w:rsidRPr="00C0735B">
              <w:t>September 1, 2019.</w:t>
            </w:r>
          </w:p>
          <w:p w:rsidR="008423E4" w:rsidRPr="00233FDB" w:rsidRDefault="00EB1F2F" w:rsidP="00C847E5">
            <w:pPr>
              <w:rPr>
                <w:b/>
              </w:rPr>
            </w:pPr>
          </w:p>
        </w:tc>
      </w:tr>
    </w:tbl>
    <w:p w:rsidR="008423E4" w:rsidRPr="00BE0E75" w:rsidRDefault="00EB1F2F" w:rsidP="008423E4">
      <w:pPr>
        <w:spacing w:line="480" w:lineRule="auto"/>
        <w:jc w:val="both"/>
        <w:rPr>
          <w:rFonts w:ascii="Arial" w:hAnsi="Arial"/>
          <w:sz w:val="16"/>
          <w:szCs w:val="16"/>
        </w:rPr>
      </w:pPr>
    </w:p>
    <w:p w:rsidR="004108C3" w:rsidRPr="008423E4" w:rsidRDefault="00EB1F2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B1F2F">
      <w:r>
        <w:separator/>
      </w:r>
    </w:p>
  </w:endnote>
  <w:endnote w:type="continuationSeparator" w:id="0">
    <w:p w:rsidR="00000000" w:rsidRDefault="00EB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B1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1785E" w:rsidTr="009C1E9A">
      <w:trPr>
        <w:cantSplit/>
      </w:trPr>
      <w:tc>
        <w:tcPr>
          <w:tcW w:w="0" w:type="pct"/>
        </w:tcPr>
        <w:p w:rsidR="00137D90" w:rsidRDefault="00EB1F2F" w:rsidP="009C1E9A">
          <w:pPr>
            <w:pStyle w:val="Footer"/>
            <w:tabs>
              <w:tab w:val="clear" w:pos="8640"/>
              <w:tab w:val="right" w:pos="9360"/>
            </w:tabs>
          </w:pPr>
        </w:p>
      </w:tc>
      <w:tc>
        <w:tcPr>
          <w:tcW w:w="2395" w:type="pct"/>
        </w:tcPr>
        <w:p w:rsidR="00137D90" w:rsidRDefault="00EB1F2F" w:rsidP="009C1E9A">
          <w:pPr>
            <w:pStyle w:val="Footer"/>
            <w:tabs>
              <w:tab w:val="clear" w:pos="8640"/>
              <w:tab w:val="right" w:pos="9360"/>
            </w:tabs>
          </w:pPr>
        </w:p>
        <w:p w:rsidR="001A4310" w:rsidRDefault="00EB1F2F" w:rsidP="009C1E9A">
          <w:pPr>
            <w:pStyle w:val="Footer"/>
            <w:tabs>
              <w:tab w:val="clear" w:pos="8640"/>
              <w:tab w:val="right" w:pos="9360"/>
            </w:tabs>
          </w:pPr>
        </w:p>
        <w:p w:rsidR="00137D90" w:rsidRDefault="00EB1F2F" w:rsidP="009C1E9A">
          <w:pPr>
            <w:pStyle w:val="Footer"/>
            <w:tabs>
              <w:tab w:val="clear" w:pos="8640"/>
              <w:tab w:val="right" w:pos="9360"/>
            </w:tabs>
          </w:pPr>
        </w:p>
      </w:tc>
      <w:tc>
        <w:tcPr>
          <w:tcW w:w="2453" w:type="pct"/>
        </w:tcPr>
        <w:p w:rsidR="00137D90" w:rsidRDefault="00EB1F2F" w:rsidP="009C1E9A">
          <w:pPr>
            <w:pStyle w:val="Footer"/>
            <w:tabs>
              <w:tab w:val="clear" w:pos="8640"/>
              <w:tab w:val="right" w:pos="9360"/>
            </w:tabs>
            <w:jc w:val="right"/>
          </w:pPr>
        </w:p>
      </w:tc>
    </w:tr>
    <w:tr w:rsidR="0081785E" w:rsidTr="009C1E9A">
      <w:trPr>
        <w:cantSplit/>
      </w:trPr>
      <w:tc>
        <w:tcPr>
          <w:tcW w:w="0" w:type="pct"/>
        </w:tcPr>
        <w:p w:rsidR="00EC379B" w:rsidRDefault="00EB1F2F" w:rsidP="009C1E9A">
          <w:pPr>
            <w:pStyle w:val="Footer"/>
            <w:tabs>
              <w:tab w:val="clear" w:pos="8640"/>
              <w:tab w:val="right" w:pos="9360"/>
            </w:tabs>
          </w:pPr>
        </w:p>
      </w:tc>
      <w:tc>
        <w:tcPr>
          <w:tcW w:w="2395" w:type="pct"/>
        </w:tcPr>
        <w:p w:rsidR="00EC379B" w:rsidRPr="009C1E9A" w:rsidRDefault="00EB1F2F" w:rsidP="009C1E9A">
          <w:pPr>
            <w:pStyle w:val="Footer"/>
            <w:tabs>
              <w:tab w:val="clear" w:pos="8640"/>
              <w:tab w:val="right" w:pos="9360"/>
            </w:tabs>
            <w:rPr>
              <w:rFonts w:ascii="Shruti" w:hAnsi="Shruti"/>
              <w:sz w:val="22"/>
            </w:rPr>
          </w:pPr>
          <w:r>
            <w:rPr>
              <w:rFonts w:ascii="Shruti" w:hAnsi="Shruti"/>
              <w:sz w:val="22"/>
            </w:rPr>
            <w:t>86R 22799</w:t>
          </w:r>
        </w:p>
      </w:tc>
      <w:tc>
        <w:tcPr>
          <w:tcW w:w="2453" w:type="pct"/>
        </w:tcPr>
        <w:p w:rsidR="00EC379B" w:rsidRDefault="00EB1F2F" w:rsidP="009C1E9A">
          <w:pPr>
            <w:pStyle w:val="Footer"/>
            <w:tabs>
              <w:tab w:val="clear" w:pos="8640"/>
              <w:tab w:val="right" w:pos="9360"/>
            </w:tabs>
            <w:jc w:val="right"/>
          </w:pPr>
          <w:r>
            <w:fldChar w:fldCharType="begin"/>
          </w:r>
          <w:r>
            <w:instrText xml:space="preserve"> DOCPROPERTY  OTID  \* MERGEFORMAT </w:instrText>
          </w:r>
          <w:r>
            <w:fldChar w:fldCharType="separate"/>
          </w:r>
          <w:r>
            <w:t>19.88.188</w:t>
          </w:r>
          <w:r>
            <w:fldChar w:fldCharType="end"/>
          </w:r>
        </w:p>
      </w:tc>
    </w:tr>
    <w:tr w:rsidR="0081785E" w:rsidTr="009C1E9A">
      <w:trPr>
        <w:cantSplit/>
      </w:trPr>
      <w:tc>
        <w:tcPr>
          <w:tcW w:w="0" w:type="pct"/>
        </w:tcPr>
        <w:p w:rsidR="00EC379B" w:rsidRDefault="00EB1F2F" w:rsidP="009C1E9A">
          <w:pPr>
            <w:pStyle w:val="Footer"/>
            <w:tabs>
              <w:tab w:val="clear" w:pos="4320"/>
              <w:tab w:val="clear" w:pos="8640"/>
              <w:tab w:val="left" w:pos="2865"/>
            </w:tabs>
          </w:pPr>
        </w:p>
      </w:tc>
      <w:tc>
        <w:tcPr>
          <w:tcW w:w="2395" w:type="pct"/>
        </w:tcPr>
        <w:p w:rsidR="00EC379B" w:rsidRPr="009C1E9A" w:rsidRDefault="00EB1F2F" w:rsidP="009C1E9A">
          <w:pPr>
            <w:pStyle w:val="Footer"/>
            <w:tabs>
              <w:tab w:val="clear" w:pos="4320"/>
              <w:tab w:val="clear" w:pos="8640"/>
              <w:tab w:val="left" w:pos="2865"/>
            </w:tabs>
            <w:rPr>
              <w:rFonts w:ascii="Shruti" w:hAnsi="Shruti"/>
              <w:sz w:val="22"/>
            </w:rPr>
          </w:pPr>
        </w:p>
      </w:tc>
      <w:tc>
        <w:tcPr>
          <w:tcW w:w="2453" w:type="pct"/>
        </w:tcPr>
        <w:p w:rsidR="00EC379B" w:rsidRDefault="00EB1F2F" w:rsidP="006D504F">
          <w:pPr>
            <w:pStyle w:val="Footer"/>
            <w:rPr>
              <w:rStyle w:val="PageNumber"/>
            </w:rPr>
          </w:pPr>
        </w:p>
        <w:p w:rsidR="00EC379B" w:rsidRDefault="00EB1F2F" w:rsidP="009C1E9A">
          <w:pPr>
            <w:pStyle w:val="Footer"/>
            <w:tabs>
              <w:tab w:val="clear" w:pos="8640"/>
              <w:tab w:val="right" w:pos="9360"/>
            </w:tabs>
            <w:jc w:val="right"/>
          </w:pPr>
        </w:p>
      </w:tc>
    </w:tr>
    <w:tr w:rsidR="0081785E" w:rsidTr="009C1E9A">
      <w:trPr>
        <w:cantSplit/>
        <w:trHeight w:val="323"/>
      </w:trPr>
      <w:tc>
        <w:tcPr>
          <w:tcW w:w="0" w:type="pct"/>
          <w:gridSpan w:val="3"/>
        </w:tcPr>
        <w:p w:rsidR="00EC379B" w:rsidRDefault="00EB1F2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EB1F2F" w:rsidP="009C1E9A">
          <w:pPr>
            <w:pStyle w:val="Footer"/>
            <w:tabs>
              <w:tab w:val="clear" w:pos="8640"/>
              <w:tab w:val="right" w:pos="9360"/>
            </w:tabs>
            <w:jc w:val="center"/>
          </w:pPr>
        </w:p>
      </w:tc>
    </w:tr>
  </w:tbl>
  <w:p w:rsidR="00EC379B" w:rsidRPr="00FF6F72" w:rsidRDefault="00EB1F2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B1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B1F2F">
      <w:r>
        <w:separator/>
      </w:r>
    </w:p>
  </w:footnote>
  <w:footnote w:type="continuationSeparator" w:id="0">
    <w:p w:rsidR="00000000" w:rsidRDefault="00EB1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B1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B1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B1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3F1"/>
    <w:multiLevelType w:val="hybridMultilevel"/>
    <w:tmpl w:val="18920CC4"/>
    <w:lvl w:ilvl="0" w:tplc="6F86ED6C">
      <w:start w:val="1"/>
      <w:numFmt w:val="bullet"/>
      <w:lvlText w:val=""/>
      <w:lvlJc w:val="left"/>
      <w:pPr>
        <w:tabs>
          <w:tab w:val="num" w:pos="720"/>
        </w:tabs>
        <w:ind w:left="720" w:hanging="360"/>
      </w:pPr>
      <w:rPr>
        <w:rFonts w:ascii="Symbol" w:hAnsi="Symbol" w:hint="default"/>
      </w:rPr>
    </w:lvl>
    <w:lvl w:ilvl="1" w:tplc="F898A0A8" w:tentative="1">
      <w:start w:val="1"/>
      <w:numFmt w:val="bullet"/>
      <w:lvlText w:val="o"/>
      <w:lvlJc w:val="left"/>
      <w:pPr>
        <w:ind w:left="1440" w:hanging="360"/>
      </w:pPr>
      <w:rPr>
        <w:rFonts w:ascii="Courier New" w:hAnsi="Courier New" w:cs="Courier New" w:hint="default"/>
      </w:rPr>
    </w:lvl>
    <w:lvl w:ilvl="2" w:tplc="BCDE483C" w:tentative="1">
      <w:start w:val="1"/>
      <w:numFmt w:val="bullet"/>
      <w:lvlText w:val=""/>
      <w:lvlJc w:val="left"/>
      <w:pPr>
        <w:ind w:left="2160" w:hanging="360"/>
      </w:pPr>
      <w:rPr>
        <w:rFonts w:ascii="Wingdings" w:hAnsi="Wingdings" w:hint="default"/>
      </w:rPr>
    </w:lvl>
    <w:lvl w:ilvl="3" w:tplc="8984EE6A" w:tentative="1">
      <w:start w:val="1"/>
      <w:numFmt w:val="bullet"/>
      <w:lvlText w:val=""/>
      <w:lvlJc w:val="left"/>
      <w:pPr>
        <w:ind w:left="2880" w:hanging="360"/>
      </w:pPr>
      <w:rPr>
        <w:rFonts w:ascii="Symbol" w:hAnsi="Symbol" w:hint="default"/>
      </w:rPr>
    </w:lvl>
    <w:lvl w:ilvl="4" w:tplc="F2648D22" w:tentative="1">
      <w:start w:val="1"/>
      <w:numFmt w:val="bullet"/>
      <w:lvlText w:val="o"/>
      <w:lvlJc w:val="left"/>
      <w:pPr>
        <w:ind w:left="3600" w:hanging="360"/>
      </w:pPr>
      <w:rPr>
        <w:rFonts w:ascii="Courier New" w:hAnsi="Courier New" w:cs="Courier New" w:hint="default"/>
      </w:rPr>
    </w:lvl>
    <w:lvl w:ilvl="5" w:tplc="E0DE45A2" w:tentative="1">
      <w:start w:val="1"/>
      <w:numFmt w:val="bullet"/>
      <w:lvlText w:val=""/>
      <w:lvlJc w:val="left"/>
      <w:pPr>
        <w:ind w:left="4320" w:hanging="360"/>
      </w:pPr>
      <w:rPr>
        <w:rFonts w:ascii="Wingdings" w:hAnsi="Wingdings" w:hint="default"/>
      </w:rPr>
    </w:lvl>
    <w:lvl w:ilvl="6" w:tplc="C30AE8F6" w:tentative="1">
      <w:start w:val="1"/>
      <w:numFmt w:val="bullet"/>
      <w:lvlText w:val=""/>
      <w:lvlJc w:val="left"/>
      <w:pPr>
        <w:ind w:left="5040" w:hanging="360"/>
      </w:pPr>
      <w:rPr>
        <w:rFonts w:ascii="Symbol" w:hAnsi="Symbol" w:hint="default"/>
      </w:rPr>
    </w:lvl>
    <w:lvl w:ilvl="7" w:tplc="C6DC8B0C" w:tentative="1">
      <w:start w:val="1"/>
      <w:numFmt w:val="bullet"/>
      <w:lvlText w:val="o"/>
      <w:lvlJc w:val="left"/>
      <w:pPr>
        <w:ind w:left="5760" w:hanging="360"/>
      </w:pPr>
      <w:rPr>
        <w:rFonts w:ascii="Courier New" w:hAnsi="Courier New" w:cs="Courier New" w:hint="default"/>
      </w:rPr>
    </w:lvl>
    <w:lvl w:ilvl="8" w:tplc="E7CAD51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5E"/>
    <w:rsid w:val="0081785E"/>
    <w:rsid w:val="00EB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8F1258-BE10-4890-A490-C4BE112E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745CF"/>
    <w:rPr>
      <w:sz w:val="16"/>
      <w:szCs w:val="16"/>
    </w:rPr>
  </w:style>
  <w:style w:type="paragraph" w:styleId="CommentText">
    <w:name w:val="annotation text"/>
    <w:basedOn w:val="Normal"/>
    <w:link w:val="CommentTextChar"/>
    <w:semiHidden/>
    <w:unhideWhenUsed/>
    <w:rsid w:val="009745CF"/>
    <w:rPr>
      <w:sz w:val="20"/>
      <w:szCs w:val="20"/>
    </w:rPr>
  </w:style>
  <w:style w:type="character" w:customStyle="1" w:styleId="CommentTextChar">
    <w:name w:val="Comment Text Char"/>
    <w:basedOn w:val="DefaultParagraphFont"/>
    <w:link w:val="CommentText"/>
    <w:semiHidden/>
    <w:rsid w:val="009745CF"/>
  </w:style>
  <w:style w:type="paragraph" w:styleId="CommentSubject">
    <w:name w:val="annotation subject"/>
    <w:basedOn w:val="CommentText"/>
    <w:next w:val="CommentText"/>
    <w:link w:val="CommentSubjectChar"/>
    <w:semiHidden/>
    <w:unhideWhenUsed/>
    <w:rsid w:val="009745CF"/>
    <w:rPr>
      <w:b/>
      <w:bCs/>
    </w:rPr>
  </w:style>
  <w:style w:type="character" w:customStyle="1" w:styleId="CommentSubjectChar">
    <w:name w:val="Comment Subject Char"/>
    <w:basedOn w:val="CommentTextChar"/>
    <w:link w:val="CommentSubject"/>
    <w:semiHidden/>
    <w:rsid w:val="009745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2595</Characters>
  <Application>Microsoft Office Word</Application>
  <DocSecurity>4</DocSecurity>
  <Lines>62</Lines>
  <Paragraphs>18</Paragraphs>
  <ScaleCrop>false</ScaleCrop>
  <HeadingPairs>
    <vt:vector size="2" baseType="variant">
      <vt:variant>
        <vt:lpstr>Title</vt:lpstr>
      </vt:variant>
      <vt:variant>
        <vt:i4>1</vt:i4>
      </vt:variant>
    </vt:vector>
  </HeadingPairs>
  <TitlesOfParts>
    <vt:vector size="1" baseType="lpstr">
      <vt:lpstr>BA - HB01367 (Committee Report (Unamended))</vt:lpstr>
    </vt:vector>
  </TitlesOfParts>
  <Company>State of Texas</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22799</dc:subject>
  <dc:creator>State of Texas</dc:creator>
  <dc:description>HB 1367 by Harris-(H)Land &amp; Resource Management</dc:description>
  <cp:lastModifiedBy>Erin Conway</cp:lastModifiedBy>
  <cp:revision>2</cp:revision>
  <cp:lastPrinted>2003-11-26T17:21:00Z</cp:lastPrinted>
  <dcterms:created xsi:type="dcterms:W3CDTF">2019-05-06T15:38:00Z</dcterms:created>
  <dcterms:modified xsi:type="dcterms:W3CDTF">2019-05-06T15:38:00Z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19.88.188</vt:lpwstr>
  </property>
</Properties>
</file>