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415" w:rsidRDefault="008E6415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2FA878AD241C4066983B8E110416675A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8E6415" w:rsidRPr="00585C31" w:rsidRDefault="008E6415" w:rsidP="000F1DF9">
      <w:pPr>
        <w:spacing w:after="0" w:line="240" w:lineRule="auto"/>
        <w:rPr>
          <w:rFonts w:cs="Times New Roman"/>
          <w:szCs w:val="24"/>
        </w:rPr>
      </w:pPr>
    </w:p>
    <w:p w:rsidR="008E6415" w:rsidRPr="00585C31" w:rsidRDefault="008E6415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8E6415" w:rsidTr="000F1DF9">
        <w:tc>
          <w:tcPr>
            <w:tcW w:w="2718" w:type="dxa"/>
          </w:tcPr>
          <w:p w:rsidR="008E6415" w:rsidRPr="005C2A78" w:rsidRDefault="008E6415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AA68155C3904408ABD5F57E83290EF9D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8E6415" w:rsidRPr="00FF6471" w:rsidRDefault="008E6415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32D5CE3AA7CC4C46BE1017EF06B72B2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1397</w:t>
                </w:r>
              </w:sdtContent>
            </w:sdt>
          </w:p>
        </w:tc>
      </w:tr>
      <w:tr w:rsidR="008E6415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CB66E8B59A4B475E891F3DD409FAB00F"/>
            </w:placeholder>
          </w:sdtPr>
          <w:sdtContent>
            <w:tc>
              <w:tcPr>
                <w:tcW w:w="2718" w:type="dxa"/>
              </w:tcPr>
              <w:p w:rsidR="008E6415" w:rsidRPr="000F1DF9" w:rsidRDefault="008E6415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86R21732 E</w:t>
                </w:r>
              </w:p>
            </w:tc>
          </w:sdtContent>
        </w:sdt>
        <w:tc>
          <w:tcPr>
            <w:tcW w:w="6858" w:type="dxa"/>
          </w:tcPr>
          <w:p w:rsidR="008E6415" w:rsidRPr="005C2A78" w:rsidRDefault="008E6415" w:rsidP="006D756B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78A02F09D32641D093E0AD5B0F06B5E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2799E928B0B940138F01A7104433D66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Phelan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2DD8C31A7A874D6FA87FEFA94657E35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(Nichols)</w:t>
                </w:r>
              </w:sdtContent>
            </w:sdt>
          </w:p>
        </w:tc>
      </w:tr>
      <w:tr w:rsidR="008E6415" w:rsidTr="000F1DF9">
        <w:tc>
          <w:tcPr>
            <w:tcW w:w="2718" w:type="dxa"/>
          </w:tcPr>
          <w:p w:rsidR="008E6415" w:rsidRPr="00BC7495" w:rsidRDefault="008E641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C58E472B11D04C09B64147B6CA282E16"/>
            </w:placeholder>
          </w:sdtPr>
          <w:sdtContent>
            <w:tc>
              <w:tcPr>
                <w:tcW w:w="6858" w:type="dxa"/>
              </w:tcPr>
              <w:p w:rsidR="008E6415" w:rsidRPr="00FF6471" w:rsidRDefault="008E641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Business &amp; Commerce</w:t>
                </w:r>
              </w:p>
            </w:tc>
          </w:sdtContent>
        </w:sdt>
      </w:tr>
      <w:tr w:rsidR="008E6415" w:rsidTr="000F1DF9">
        <w:tc>
          <w:tcPr>
            <w:tcW w:w="2718" w:type="dxa"/>
          </w:tcPr>
          <w:p w:rsidR="008E6415" w:rsidRPr="00BC7495" w:rsidRDefault="008E641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9EFA7E8BB5F04D1EB10934A91E427D6A"/>
            </w:placeholder>
            <w:date w:fullDate="2019-04-2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8E6415" w:rsidRPr="00FF6471" w:rsidRDefault="008E641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4/22/2019</w:t>
                </w:r>
              </w:p>
            </w:tc>
          </w:sdtContent>
        </w:sdt>
      </w:tr>
      <w:tr w:rsidR="008E6415" w:rsidTr="000F1DF9">
        <w:tc>
          <w:tcPr>
            <w:tcW w:w="2718" w:type="dxa"/>
          </w:tcPr>
          <w:p w:rsidR="008E6415" w:rsidRPr="00BC7495" w:rsidRDefault="008E641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FA18382D76024B43AEA513EE1FC43B46"/>
            </w:placeholder>
          </w:sdtPr>
          <w:sdtContent>
            <w:tc>
              <w:tcPr>
                <w:tcW w:w="6858" w:type="dxa"/>
              </w:tcPr>
              <w:p w:rsidR="008E6415" w:rsidRPr="00FF6471" w:rsidRDefault="008E641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8E6415" w:rsidRPr="00FF6471" w:rsidRDefault="008E6415" w:rsidP="000F1DF9">
      <w:pPr>
        <w:spacing w:after="0" w:line="240" w:lineRule="auto"/>
        <w:rPr>
          <w:rFonts w:cs="Times New Roman"/>
          <w:szCs w:val="24"/>
        </w:rPr>
      </w:pPr>
    </w:p>
    <w:p w:rsidR="008E6415" w:rsidRPr="00FF6471" w:rsidRDefault="008E6415" w:rsidP="000F1DF9">
      <w:pPr>
        <w:spacing w:after="0" w:line="240" w:lineRule="auto"/>
        <w:rPr>
          <w:rFonts w:cs="Times New Roman"/>
          <w:szCs w:val="24"/>
        </w:rPr>
      </w:pPr>
    </w:p>
    <w:p w:rsidR="008E6415" w:rsidRPr="00FF6471" w:rsidRDefault="008E6415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EAA740F1970A4771869B564EF2CA422A"/>
        </w:placeholder>
      </w:sdtPr>
      <w:sdtContent>
        <w:p w:rsidR="008E6415" w:rsidRDefault="008E6415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07E5F763720A49609E971CDAE3BE441D"/>
        </w:placeholder>
      </w:sdtPr>
      <w:sdtContent>
        <w:p w:rsidR="008E6415" w:rsidRDefault="008E6415" w:rsidP="008E6415">
          <w:pPr>
            <w:pStyle w:val="NormalWeb"/>
            <w:spacing w:before="0" w:beforeAutospacing="0" w:after="0" w:afterAutospacing="0"/>
            <w:jc w:val="both"/>
            <w:divId w:val="1804541554"/>
            <w:rPr>
              <w:rFonts w:eastAsia="Times New Roman"/>
              <w:bCs/>
            </w:rPr>
          </w:pPr>
        </w:p>
        <w:p w:rsidR="008E6415" w:rsidRPr="005872F4" w:rsidRDefault="008E6415" w:rsidP="008E6415">
          <w:pPr>
            <w:pStyle w:val="NormalWeb"/>
            <w:spacing w:before="0" w:beforeAutospacing="0" w:after="0" w:afterAutospacing="0"/>
            <w:jc w:val="both"/>
            <w:divId w:val="1804541554"/>
          </w:pPr>
          <w:r>
            <w:t xml:space="preserve">H.B. 1397 authorizes the </w:t>
          </w:r>
          <w:r w:rsidRPr="005872F4">
            <w:t>Public Utility Commission</w:t>
          </w:r>
          <w:r>
            <w:t xml:space="preserve"> of Texas</w:t>
          </w:r>
          <w:r w:rsidRPr="005872F4">
            <w:t xml:space="preserve"> (PUC) to approve a rider submitted by a non-ERCOT utility for an electric generation facility.  The goal of a rider is to reduce regulatory lag—the time period between the date that infrastructure is placed in service and the date a utility may start recovering its investment. The rider authorized in H.B. 1397 provides discretionary authority to the PUC.    </w:t>
          </w:r>
        </w:p>
        <w:p w:rsidR="008E6415" w:rsidRPr="00D70925" w:rsidRDefault="008E6415" w:rsidP="008E6415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8E6415" w:rsidRDefault="008E6415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1397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establishment of rates for certain non-ERCOT utilities.</w:t>
      </w:r>
    </w:p>
    <w:p w:rsidR="008E6415" w:rsidRPr="005872F4" w:rsidRDefault="008E6415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E6415" w:rsidRPr="005C2A78" w:rsidRDefault="008E6415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6E5D8877C47046A48364C534FB6C17CD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8E6415" w:rsidRPr="006529C4" w:rsidRDefault="008E6415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8E6415" w:rsidRPr="006529C4" w:rsidRDefault="008E6415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Rulemaking authority is expressly granted to </w:t>
      </w:r>
      <w:r w:rsidRPr="005872F4">
        <w:rPr>
          <w:rFonts w:cs="Times New Roman"/>
          <w:szCs w:val="24"/>
        </w:rPr>
        <w:t>the Public Utility Commission of Texas</w:t>
      </w:r>
      <w:r>
        <w:rPr>
          <w:rFonts w:cs="Times New Roman"/>
          <w:szCs w:val="24"/>
        </w:rPr>
        <w:t xml:space="preserve"> in SECTION 4 (Section 36.213</w:t>
      </w:r>
      <w:r w:rsidRPr="005872F4">
        <w:rPr>
          <w:rFonts w:cs="Times New Roman"/>
          <w:szCs w:val="24"/>
        </w:rPr>
        <w:t>, Utilities Code</w:t>
      </w:r>
      <w:r>
        <w:rPr>
          <w:rFonts w:cs="Times New Roman"/>
          <w:szCs w:val="24"/>
        </w:rPr>
        <w:t>) of this bill.</w:t>
      </w:r>
    </w:p>
    <w:p w:rsidR="008E6415" w:rsidRPr="006529C4" w:rsidRDefault="008E6415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8E6415" w:rsidRPr="005C2A78" w:rsidRDefault="008E6415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F0315EAA17904F8FAB0498833F0988D3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8E6415" w:rsidRPr="005C2A78" w:rsidRDefault="008E6415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E6415" w:rsidRPr="005872F4" w:rsidRDefault="008E6415" w:rsidP="006C3AEF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872F4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5872F4">
        <w:rPr>
          <w:rFonts w:eastAsia="Times New Roman" w:cs="Times New Roman"/>
          <w:szCs w:val="24"/>
        </w:rPr>
        <w:t xml:space="preserve">Section 36.112(g), Utilities Code, </w:t>
      </w:r>
      <w:r>
        <w:rPr>
          <w:rFonts w:eastAsia="Times New Roman" w:cs="Times New Roman"/>
          <w:szCs w:val="24"/>
        </w:rPr>
        <w:t>to provide that t</w:t>
      </w:r>
      <w:r w:rsidRPr="005872F4">
        <w:rPr>
          <w:rFonts w:eastAsia="Times New Roman" w:cs="Times New Roman"/>
          <w:szCs w:val="24"/>
        </w:rPr>
        <w:t>his section expires September 1, 2031</w:t>
      </w:r>
      <w:r>
        <w:rPr>
          <w:rFonts w:eastAsia="Times New Roman" w:cs="Times New Roman"/>
          <w:szCs w:val="24"/>
        </w:rPr>
        <w:t>, rather than September 1, 2023</w:t>
      </w:r>
      <w:r w:rsidRPr="005872F4">
        <w:rPr>
          <w:rFonts w:eastAsia="Times New Roman" w:cs="Times New Roman"/>
          <w:szCs w:val="24"/>
        </w:rPr>
        <w:t>.</w:t>
      </w:r>
    </w:p>
    <w:p w:rsidR="008E6415" w:rsidRPr="005872F4" w:rsidRDefault="008E6415" w:rsidP="006C3AE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E6415" w:rsidRPr="005872F4" w:rsidRDefault="008E6415" w:rsidP="006C3AEF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872F4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</w:t>
      </w:r>
      <w:r w:rsidRPr="005872F4">
        <w:rPr>
          <w:rFonts w:eastAsia="Times New Roman" w:cs="Times New Roman"/>
          <w:szCs w:val="24"/>
        </w:rPr>
        <w:t xml:space="preserve">Section 36.211(f), Utilities Code, </w:t>
      </w:r>
      <w:r>
        <w:rPr>
          <w:rFonts w:eastAsia="Times New Roman" w:cs="Times New Roman"/>
          <w:szCs w:val="24"/>
        </w:rPr>
        <w:t>to provide that t</w:t>
      </w:r>
      <w:r w:rsidRPr="005872F4">
        <w:rPr>
          <w:rFonts w:eastAsia="Times New Roman" w:cs="Times New Roman"/>
          <w:szCs w:val="24"/>
        </w:rPr>
        <w:t>his section expires September 1, 2031</w:t>
      </w:r>
      <w:r>
        <w:rPr>
          <w:rFonts w:eastAsia="Times New Roman" w:cs="Times New Roman"/>
          <w:szCs w:val="24"/>
        </w:rPr>
        <w:t>, rather than September 1, 2023</w:t>
      </w:r>
      <w:r w:rsidRPr="005872F4">
        <w:rPr>
          <w:rFonts w:eastAsia="Times New Roman" w:cs="Times New Roman"/>
          <w:szCs w:val="24"/>
        </w:rPr>
        <w:t>.</w:t>
      </w:r>
    </w:p>
    <w:p w:rsidR="008E6415" w:rsidRPr="005872F4" w:rsidRDefault="008E6415" w:rsidP="006C3AE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E6415" w:rsidRPr="005872F4" w:rsidRDefault="008E6415" w:rsidP="006C3AEF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872F4">
        <w:rPr>
          <w:rFonts w:eastAsia="Times New Roman" w:cs="Times New Roman"/>
          <w:szCs w:val="24"/>
        </w:rPr>
        <w:t>SECTION 3.</w:t>
      </w:r>
      <w:r>
        <w:rPr>
          <w:rFonts w:eastAsia="Times New Roman" w:cs="Times New Roman"/>
          <w:szCs w:val="24"/>
        </w:rPr>
        <w:t xml:space="preserve"> Amends </w:t>
      </w:r>
      <w:r w:rsidRPr="005872F4">
        <w:rPr>
          <w:rFonts w:eastAsia="Times New Roman" w:cs="Times New Roman"/>
          <w:szCs w:val="24"/>
        </w:rPr>
        <w:t xml:space="preserve">Section 36.212(g), Utilities Code, </w:t>
      </w:r>
      <w:r>
        <w:rPr>
          <w:rFonts w:eastAsia="Times New Roman" w:cs="Times New Roman"/>
          <w:szCs w:val="24"/>
        </w:rPr>
        <w:t>to provide that t</w:t>
      </w:r>
      <w:r w:rsidRPr="005872F4">
        <w:rPr>
          <w:rFonts w:eastAsia="Times New Roman" w:cs="Times New Roman"/>
          <w:szCs w:val="24"/>
        </w:rPr>
        <w:t>his section expires September 1, 2031</w:t>
      </w:r>
      <w:r>
        <w:rPr>
          <w:rFonts w:eastAsia="Times New Roman" w:cs="Times New Roman"/>
          <w:szCs w:val="24"/>
        </w:rPr>
        <w:t>, rather than September 1, 2023</w:t>
      </w:r>
      <w:r w:rsidRPr="005872F4">
        <w:rPr>
          <w:rFonts w:eastAsia="Times New Roman" w:cs="Times New Roman"/>
          <w:szCs w:val="24"/>
        </w:rPr>
        <w:t>.</w:t>
      </w:r>
    </w:p>
    <w:p w:rsidR="008E6415" w:rsidRPr="005872F4" w:rsidRDefault="008E6415" w:rsidP="006C3AE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E6415" w:rsidRPr="005872F4" w:rsidRDefault="008E6415" w:rsidP="006C3AEF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872F4">
        <w:rPr>
          <w:rFonts w:eastAsia="Times New Roman" w:cs="Times New Roman"/>
          <w:szCs w:val="24"/>
        </w:rPr>
        <w:t>SECTION 4.</w:t>
      </w:r>
      <w:r>
        <w:rPr>
          <w:rFonts w:eastAsia="Times New Roman" w:cs="Times New Roman"/>
          <w:szCs w:val="24"/>
        </w:rPr>
        <w:t xml:space="preserve"> Amends </w:t>
      </w:r>
      <w:r w:rsidRPr="005872F4">
        <w:rPr>
          <w:rFonts w:eastAsia="Times New Roman" w:cs="Times New Roman"/>
          <w:szCs w:val="24"/>
        </w:rPr>
        <w:t xml:space="preserve">Subchapter E, Chapter 36, Utilities Code, </w:t>
      </w:r>
      <w:r>
        <w:rPr>
          <w:rFonts w:eastAsia="Times New Roman" w:cs="Times New Roman"/>
          <w:szCs w:val="24"/>
        </w:rPr>
        <w:t xml:space="preserve">by adding Section 36.213, </w:t>
      </w:r>
      <w:r w:rsidRPr="005872F4">
        <w:rPr>
          <w:rFonts w:eastAsia="Times New Roman" w:cs="Times New Roman"/>
          <w:szCs w:val="24"/>
        </w:rPr>
        <w:t>as follows:</w:t>
      </w:r>
    </w:p>
    <w:p w:rsidR="008E6415" w:rsidRPr="005872F4" w:rsidRDefault="008E6415" w:rsidP="006C3AE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E6415" w:rsidRPr="005872F4" w:rsidRDefault="008E6415" w:rsidP="006C3AE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5872F4">
        <w:rPr>
          <w:rFonts w:eastAsia="Times New Roman" w:cs="Times New Roman"/>
          <w:szCs w:val="24"/>
        </w:rPr>
        <w:t>Sec. 36.213.</w:t>
      </w:r>
      <w:r>
        <w:rPr>
          <w:rFonts w:eastAsia="Times New Roman" w:cs="Times New Roman"/>
          <w:szCs w:val="24"/>
        </w:rPr>
        <w:t xml:space="preserve"> </w:t>
      </w:r>
      <w:r w:rsidRPr="005872F4">
        <w:rPr>
          <w:rFonts w:eastAsia="Times New Roman" w:cs="Times New Roman"/>
          <w:szCs w:val="24"/>
        </w:rPr>
        <w:t xml:space="preserve">RECOVERY OF GENERATION INVESTMENT BY NON-ERCOT UTILITIES. (a) </w:t>
      </w:r>
      <w:r>
        <w:rPr>
          <w:rFonts w:eastAsia="Times New Roman" w:cs="Times New Roman"/>
          <w:szCs w:val="24"/>
        </w:rPr>
        <w:t>Provides that t</w:t>
      </w:r>
      <w:r w:rsidRPr="005872F4">
        <w:rPr>
          <w:rFonts w:eastAsia="Times New Roman" w:cs="Times New Roman"/>
          <w:szCs w:val="24"/>
        </w:rPr>
        <w:t>his section applies only to an electric utility that operates solely outside of ERCOT.</w:t>
      </w:r>
    </w:p>
    <w:p w:rsidR="008E6415" w:rsidRPr="005872F4" w:rsidRDefault="008E6415" w:rsidP="006C3AE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8E6415" w:rsidRPr="005872F4" w:rsidRDefault="008E6415" w:rsidP="006C3AE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5872F4">
        <w:rPr>
          <w:rFonts w:eastAsia="Times New Roman" w:cs="Times New Roman"/>
          <w:szCs w:val="24"/>
        </w:rPr>
        <w:t>(b)</w:t>
      </w:r>
      <w:r>
        <w:rPr>
          <w:rFonts w:eastAsia="Times New Roman" w:cs="Times New Roman"/>
          <w:szCs w:val="24"/>
        </w:rPr>
        <w:t xml:space="preserve"> Authorizes an electric utility, t</w:t>
      </w:r>
      <w:r w:rsidRPr="005872F4">
        <w:rPr>
          <w:rFonts w:eastAsia="Times New Roman" w:cs="Times New Roman"/>
          <w:szCs w:val="24"/>
        </w:rPr>
        <w:t xml:space="preserve">o encourage generation investment, </w:t>
      </w:r>
      <w:r>
        <w:rPr>
          <w:rFonts w:eastAsia="Times New Roman" w:cs="Times New Roman"/>
          <w:szCs w:val="24"/>
        </w:rPr>
        <w:t>to</w:t>
      </w:r>
      <w:r w:rsidRPr="005872F4">
        <w:rPr>
          <w:rFonts w:eastAsia="Times New Roman" w:cs="Times New Roman"/>
          <w:szCs w:val="24"/>
        </w:rPr>
        <w:t xml:space="preserve"> file, and </w:t>
      </w:r>
      <w:r>
        <w:rPr>
          <w:rFonts w:eastAsia="Times New Roman" w:cs="Times New Roman"/>
          <w:szCs w:val="24"/>
        </w:rPr>
        <w:t xml:space="preserve">authorizes </w:t>
      </w:r>
      <w:r w:rsidRPr="005872F4">
        <w:rPr>
          <w:rFonts w:cs="Times New Roman"/>
          <w:szCs w:val="24"/>
        </w:rPr>
        <w:t>the Public Utility Commission of Texas</w:t>
      </w:r>
      <w:r>
        <w:rPr>
          <w:rFonts w:cs="Times New Roman"/>
          <w:szCs w:val="24"/>
        </w:rPr>
        <w:t xml:space="preserve"> (PUC) </w:t>
      </w:r>
      <w:r>
        <w:rPr>
          <w:rFonts w:eastAsia="Times New Roman" w:cs="Times New Roman"/>
          <w:szCs w:val="24"/>
        </w:rPr>
        <w:t>to</w:t>
      </w:r>
      <w:r w:rsidRPr="005872F4">
        <w:rPr>
          <w:rFonts w:eastAsia="Times New Roman" w:cs="Times New Roman"/>
          <w:szCs w:val="24"/>
        </w:rPr>
        <w:t xml:space="preserve"> approve, an application for a rider to recover the electric utility's reasonable and necessary power generation investment and costs associated with that investment.</w:t>
      </w:r>
    </w:p>
    <w:p w:rsidR="008E6415" w:rsidRPr="005872F4" w:rsidRDefault="008E6415" w:rsidP="006C3AE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8E6415" w:rsidRPr="005872F4" w:rsidRDefault="008E6415" w:rsidP="006C3AE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5872F4">
        <w:rPr>
          <w:rFonts w:eastAsia="Times New Roman" w:cs="Times New Roman"/>
          <w:szCs w:val="24"/>
        </w:rPr>
        <w:t>(c)</w:t>
      </w:r>
      <w:r>
        <w:rPr>
          <w:rFonts w:eastAsia="Times New Roman" w:cs="Times New Roman"/>
          <w:szCs w:val="24"/>
        </w:rPr>
        <w:t xml:space="preserve"> Authorizes </w:t>
      </w:r>
      <w:r w:rsidRPr="005872F4">
        <w:rPr>
          <w:rFonts w:eastAsia="Times New Roman" w:cs="Times New Roman"/>
          <w:szCs w:val="24"/>
        </w:rPr>
        <w:t>an a</w:t>
      </w:r>
      <w:r>
        <w:rPr>
          <w:rFonts w:eastAsia="Times New Roman" w:cs="Times New Roman"/>
          <w:szCs w:val="24"/>
        </w:rPr>
        <w:t>pplication under Subsection (b), t</w:t>
      </w:r>
      <w:r w:rsidRPr="005872F4">
        <w:rPr>
          <w:rFonts w:eastAsia="Times New Roman" w:cs="Times New Roman"/>
          <w:szCs w:val="24"/>
        </w:rPr>
        <w:t xml:space="preserve">o enable full and timely recovery, </w:t>
      </w:r>
      <w:r>
        <w:rPr>
          <w:rFonts w:eastAsia="Times New Roman" w:cs="Times New Roman"/>
          <w:szCs w:val="24"/>
        </w:rPr>
        <w:t>to</w:t>
      </w:r>
      <w:r w:rsidRPr="005872F4">
        <w:rPr>
          <w:rFonts w:eastAsia="Times New Roman" w:cs="Times New Roman"/>
          <w:szCs w:val="24"/>
        </w:rPr>
        <w:t xml:space="preserve"> be filed by the electric utility and approved by the </w:t>
      </w:r>
      <w:r>
        <w:rPr>
          <w:rFonts w:eastAsia="Times New Roman" w:cs="Times New Roman"/>
          <w:szCs w:val="24"/>
        </w:rPr>
        <w:t>PUC</w:t>
      </w:r>
      <w:r w:rsidRPr="005872F4">
        <w:rPr>
          <w:rFonts w:eastAsia="Times New Roman" w:cs="Times New Roman"/>
          <w:szCs w:val="24"/>
        </w:rPr>
        <w:t xml:space="preserve"> before the electric utility places the power generation investment in service.</w:t>
      </w:r>
    </w:p>
    <w:p w:rsidR="008E6415" w:rsidRPr="005872F4" w:rsidRDefault="008E6415" w:rsidP="006C3AE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8E6415" w:rsidRPr="005872F4" w:rsidRDefault="008E6415" w:rsidP="006C3AE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5872F4">
        <w:rPr>
          <w:rFonts w:eastAsia="Times New Roman" w:cs="Times New Roman"/>
          <w:szCs w:val="24"/>
        </w:rPr>
        <w:t>(d)</w:t>
      </w:r>
      <w:r>
        <w:rPr>
          <w:rFonts w:eastAsia="Times New Roman" w:cs="Times New Roman"/>
          <w:szCs w:val="24"/>
        </w:rPr>
        <w:t xml:space="preserve"> Requires a</w:t>
      </w:r>
      <w:r w:rsidRPr="005872F4">
        <w:rPr>
          <w:rFonts w:eastAsia="Times New Roman" w:cs="Times New Roman"/>
          <w:szCs w:val="24"/>
        </w:rPr>
        <w:t xml:space="preserve">ny rider approved under Subsection (b) </w:t>
      </w:r>
      <w:r>
        <w:rPr>
          <w:rFonts w:eastAsia="Times New Roman" w:cs="Times New Roman"/>
          <w:szCs w:val="24"/>
        </w:rPr>
        <w:t>to</w:t>
      </w:r>
      <w:r w:rsidRPr="005872F4">
        <w:rPr>
          <w:rFonts w:eastAsia="Times New Roman" w:cs="Times New Roman"/>
          <w:szCs w:val="24"/>
        </w:rPr>
        <w:t xml:space="preserve"> take effect on the date the power generation investment begins providing service to the electric utility's customers.</w:t>
      </w:r>
    </w:p>
    <w:p w:rsidR="008E6415" w:rsidRPr="005872F4" w:rsidRDefault="008E6415" w:rsidP="006C3AE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8E6415" w:rsidRPr="005872F4" w:rsidRDefault="008E6415" w:rsidP="006C3AE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5872F4">
        <w:rPr>
          <w:rFonts w:eastAsia="Times New Roman" w:cs="Times New Roman"/>
          <w:szCs w:val="24"/>
        </w:rPr>
        <w:t>(e)</w:t>
      </w:r>
      <w:r>
        <w:rPr>
          <w:rFonts w:eastAsia="Times New Roman" w:cs="Times New Roman"/>
          <w:szCs w:val="24"/>
        </w:rPr>
        <w:t xml:space="preserve"> Requires </w:t>
      </w:r>
      <w:r w:rsidRPr="005872F4">
        <w:rPr>
          <w:rFonts w:eastAsia="Times New Roman" w:cs="Times New Roman"/>
          <w:szCs w:val="24"/>
        </w:rPr>
        <w:t>the electr</w:t>
      </w:r>
      <w:r>
        <w:rPr>
          <w:rFonts w:eastAsia="Times New Roman" w:cs="Times New Roman"/>
          <w:szCs w:val="24"/>
        </w:rPr>
        <w:t>ic utility that filed the rider, i</w:t>
      </w:r>
      <w:r w:rsidRPr="005872F4">
        <w:rPr>
          <w:rFonts w:eastAsia="Times New Roman" w:cs="Times New Roman"/>
          <w:szCs w:val="24"/>
        </w:rPr>
        <w:t xml:space="preserve">f a rider approved under Subsection (b) includes incremental generation investment greater than $200 million on a Texas jurisdictional basis, </w:t>
      </w:r>
      <w:r>
        <w:rPr>
          <w:rFonts w:eastAsia="Times New Roman" w:cs="Times New Roman"/>
          <w:szCs w:val="24"/>
        </w:rPr>
        <w:t>to</w:t>
      </w:r>
      <w:r w:rsidRPr="005872F4">
        <w:rPr>
          <w:rFonts w:eastAsia="Times New Roman" w:cs="Times New Roman"/>
          <w:szCs w:val="24"/>
        </w:rPr>
        <w:t xml:space="preserve"> initiate a comprehensive base rate proceeding at the </w:t>
      </w:r>
      <w:r>
        <w:rPr>
          <w:rFonts w:eastAsia="Times New Roman" w:cs="Times New Roman"/>
          <w:szCs w:val="24"/>
        </w:rPr>
        <w:t>PUC</w:t>
      </w:r>
      <w:r w:rsidRPr="005872F4">
        <w:rPr>
          <w:rFonts w:eastAsia="Times New Roman" w:cs="Times New Roman"/>
          <w:szCs w:val="24"/>
        </w:rPr>
        <w:t xml:space="preserve"> not later than eighteen months after the date the rider takes effect.</w:t>
      </w:r>
    </w:p>
    <w:p w:rsidR="008E6415" w:rsidRPr="005872F4" w:rsidRDefault="008E6415" w:rsidP="006C3AE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8E6415" w:rsidRPr="005872F4" w:rsidRDefault="008E6415" w:rsidP="006C3AE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5872F4">
        <w:rPr>
          <w:rFonts w:eastAsia="Times New Roman" w:cs="Times New Roman"/>
          <w:szCs w:val="24"/>
        </w:rPr>
        <w:t>(f)</w:t>
      </w:r>
      <w:r>
        <w:rPr>
          <w:rFonts w:eastAsia="Times New Roman" w:cs="Times New Roman"/>
          <w:szCs w:val="24"/>
        </w:rPr>
        <w:t xml:space="preserve"> Requires a</w:t>
      </w:r>
      <w:r w:rsidRPr="005872F4">
        <w:rPr>
          <w:rFonts w:eastAsia="Times New Roman" w:cs="Times New Roman"/>
          <w:szCs w:val="24"/>
        </w:rPr>
        <w:t xml:space="preserve"> rider approved under Subsection (b) </w:t>
      </w:r>
      <w:r>
        <w:rPr>
          <w:rFonts w:eastAsia="Times New Roman" w:cs="Times New Roman"/>
          <w:szCs w:val="24"/>
        </w:rPr>
        <w:t>to</w:t>
      </w:r>
      <w:r w:rsidRPr="005872F4">
        <w:rPr>
          <w:rFonts w:eastAsia="Times New Roman" w:cs="Times New Roman"/>
          <w:szCs w:val="24"/>
        </w:rPr>
        <w:t xml:space="preserve"> account for changes in the number of an electric utility's customers and the effects, on a weather-normalized basis, that energy consumption and energy demand have on the amount of revenue recovered through the electric utility's base rates.</w:t>
      </w:r>
    </w:p>
    <w:p w:rsidR="008E6415" w:rsidRPr="005872F4" w:rsidRDefault="008E6415" w:rsidP="006C3AE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8E6415" w:rsidRPr="005872F4" w:rsidRDefault="008E6415" w:rsidP="006C3AE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5872F4">
        <w:rPr>
          <w:rFonts w:eastAsia="Times New Roman" w:cs="Times New Roman"/>
          <w:szCs w:val="24"/>
        </w:rPr>
        <w:t>(g)</w:t>
      </w:r>
      <w:r>
        <w:rPr>
          <w:rFonts w:eastAsia="Times New Roman" w:cs="Times New Roman"/>
          <w:szCs w:val="24"/>
        </w:rPr>
        <w:t xml:space="preserve"> Requires t</w:t>
      </w:r>
      <w:r w:rsidRPr="005872F4">
        <w:rPr>
          <w:rFonts w:eastAsia="Times New Roman" w:cs="Times New Roman"/>
          <w:szCs w:val="24"/>
        </w:rPr>
        <w:t xml:space="preserve">he </w:t>
      </w:r>
      <w:r>
        <w:rPr>
          <w:rFonts w:eastAsia="Times New Roman" w:cs="Times New Roman"/>
          <w:szCs w:val="24"/>
        </w:rPr>
        <w:t>PUC</w:t>
      </w:r>
      <w:r w:rsidRPr="005872F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to</w:t>
      </w:r>
      <w:r w:rsidRPr="005872F4">
        <w:rPr>
          <w:rFonts w:eastAsia="Times New Roman" w:cs="Times New Roman"/>
          <w:szCs w:val="24"/>
        </w:rPr>
        <w:t xml:space="preserve"> adopt rules as necessary to implement this section.</w:t>
      </w:r>
    </w:p>
    <w:p w:rsidR="008E6415" w:rsidRPr="005872F4" w:rsidRDefault="008E6415" w:rsidP="006C3AE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E6415" w:rsidRPr="005872F4" w:rsidRDefault="008E6415" w:rsidP="006C3AEF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872F4">
        <w:rPr>
          <w:rFonts w:eastAsia="Times New Roman" w:cs="Times New Roman"/>
          <w:szCs w:val="24"/>
        </w:rPr>
        <w:t>SECTION 5.</w:t>
      </w:r>
      <w:r>
        <w:rPr>
          <w:rFonts w:eastAsia="Times New Roman" w:cs="Times New Roman"/>
          <w:szCs w:val="24"/>
        </w:rPr>
        <w:t xml:space="preserve"> Requires the PUC, n</w:t>
      </w:r>
      <w:r w:rsidRPr="005872F4">
        <w:rPr>
          <w:rFonts w:eastAsia="Times New Roman" w:cs="Times New Roman"/>
          <w:szCs w:val="24"/>
        </w:rPr>
        <w:t xml:space="preserve">ot later than September 1, 2020, </w:t>
      </w:r>
      <w:r>
        <w:rPr>
          <w:rFonts w:eastAsia="Times New Roman" w:cs="Times New Roman"/>
          <w:szCs w:val="24"/>
        </w:rPr>
        <w:t>to</w:t>
      </w:r>
      <w:r w:rsidRPr="005872F4">
        <w:rPr>
          <w:rFonts w:eastAsia="Times New Roman" w:cs="Times New Roman"/>
          <w:szCs w:val="24"/>
        </w:rPr>
        <w:t xml:space="preserve"> adopt rules required by Section 36.213(g), Utilities Code, as added by this Act.</w:t>
      </w:r>
    </w:p>
    <w:p w:rsidR="008E6415" w:rsidRPr="005872F4" w:rsidRDefault="008E6415" w:rsidP="006C3AE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E6415" w:rsidRPr="00C8671F" w:rsidRDefault="008E6415" w:rsidP="006C3AEF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872F4">
        <w:rPr>
          <w:rFonts w:eastAsia="Times New Roman" w:cs="Times New Roman"/>
          <w:szCs w:val="24"/>
        </w:rPr>
        <w:t>SECTION 6.</w:t>
      </w:r>
      <w:r>
        <w:rPr>
          <w:rFonts w:eastAsia="Times New Roman" w:cs="Times New Roman"/>
          <w:szCs w:val="24"/>
        </w:rPr>
        <w:t xml:space="preserve"> Effective date: upon passage or</w:t>
      </w:r>
      <w:r w:rsidRPr="005872F4">
        <w:rPr>
          <w:rFonts w:eastAsia="Times New Roman" w:cs="Times New Roman"/>
          <w:szCs w:val="24"/>
        </w:rPr>
        <w:t xml:space="preserve"> September 1, 2019.</w:t>
      </w:r>
    </w:p>
    <w:sectPr w:rsidR="008E6415" w:rsidRPr="00C8671F" w:rsidSect="000F1DF9">
      <w:footerReference w:type="default" r:id="rId8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C6A" w:rsidRDefault="00142C6A" w:rsidP="000F1DF9">
      <w:pPr>
        <w:spacing w:after="0" w:line="240" w:lineRule="auto"/>
      </w:pPr>
      <w:r>
        <w:separator/>
      </w:r>
    </w:p>
  </w:endnote>
  <w:endnote w:type="continuationSeparator" w:id="0">
    <w:p w:rsidR="00142C6A" w:rsidRDefault="00142C6A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142C6A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8E6415">
                <w:rPr>
                  <w:sz w:val="20"/>
                  <w:szCs w:val="20"/>
                </w:rPr>
                <w:t>ARR, BAC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8E6415">
                <w:rPr>
                  <w:sz w:val="20"/>
                  <w:szCs w:val="20"/>
                </w:rPr>
                <w:t>H.B. 1397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8E6415">
                <w:rPr>
                  <w:sz w:val="20"/>
                  <w:szCs w:val="20"/>
                </w:rPr>
                <w:t>86(R)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142C6A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8E6415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8E6415">
                <w:rPr>
                  <w:noProof/>
                  <w:sz w:val="20"/>
                  <w:szCs w:val="20"/>
                </w:rPr>
                <w:t>2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C6A" w:rsidRDefault="00142C6A" w:rsidP="000F1DF9">
      <w:pPr>
        <w:spacing w:after="0" w:line="240" w:lineRule="auto"/>
      </w:pPr>
      <w:r>
        <w:separator/>
      </w:r>
    </w:p>
  </w:footnote>
  <w:footnote w:type="continuationSeparator" w:id="0">
    <w:p w:rsidR="00142C6A" w:rsidRDefault="00142C6A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E552E"/>
    <w:rsid w:val="000F1DF9"/>
    <w:rsid w:val="00142C6A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8E6415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28C4A"/>
  <w15:docId w15:val="{6A75A1A9-5EFC-4CC3-AF09-648CEE41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E6415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5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B013CB" w:rsidP="00B013CB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2FA878AD241C4066983B8E1104166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52FF2-2E44-40EC-8D60-276F7AABD586}"/>
      </w:docPartPr>
      <w:docPartBody>
        <w:p w:rsidR="00000000" w:rsidRDefault="00A80B36"/>
      </w:docPartBody>
    </w:docPart>
    <w:docPart>
      <w:docPartPr>
        <w:name w:val="AA68155C3904408ABD5F57E83290E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66967-2823-4D6E-B8ED-48B05B1EEEB5}"/>
      </w:docPartPr>
      <w:docPartBody>
        <w:p w:rsidR="00000000" w:rsidRDefault="00A80B36"/>
      </w:docPartBody>
    </w:docPart>
    <w:docPart>
      <w:docPartPr>
        <w:name w:val="32D5CE3AA7CC4C46BE1017EF06B72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FC41D-45A9-4C51-96B8-BE90294A9628}"/>
      </w:docPartPr>
      <w:docPartBody>
        <w:p w:rsidR="00000000" w:rsidRDefault="00A80B36"/>
      </w:docPartBody>
    </w:docPart>
    <w:docPart>
      <w:docPartPr>
        <w:name w:val="CB66E8B59A4B475E891F3DD409FAB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D3B30-4925-4A98-97F2-C00A7B7E541F}"/>
      </w:docPartPr>
      <w:docPartBody>
        <w:p w:rsidR="00000000" w:rsidRDefault="00A80B36"/>
      </w:docPartBody>
    </w:docPart>
    <w:docPart>
      <w:docPartPr>
        <w:name w:val="78A02F09D32641D093E0AD5B0F06B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B3F1B-CE66-43C8-AF6E-3344DC57F2DF}"/>
      </w:docPartPr>
      <w:docPartBody>
        <w:p w:rsidR="00000000" w:rsidRDefault="00A80B36"/>
      </w:docPartBody>
    </w:docPart>
    <w:docPart>
      <w:docPartPr>
        <w:name w:val="2799E928B0B940138F01A7104433D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995F3-4623-48BA-BDBF-6CC31AC977F0}"/>
      </w:docPartPr>
      <w:docPartBody>
        <w:p w:rsidR="00000000" w:rsidRDefault="00A80B36"/>
      </w:docPartBody>
    </w:docPart>
    <w:docPart>
      <w:docPartPr>
        <w:name w:val="2DD8C31A7A874D6FA87FEFA94657E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BC76B-0F35-44E5-89EC-CA5FA2DDB331}"/>
      </w:docPartPr>
      <w:docPartBody>
        <w:p w:rsidR="00000000" w:rsidRDefault="00A80B36"/>
      </w:docPartBody>
    </w:docPart>
    <w:docPart>
      <w:docPartPr>
        <w:name w:val="C58E472B11D04C09B64147B6CA282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3668D-981D-45C3-B889-9300F2B01173}"/>
      </w:docPartPr>
      <w:docPartBody>
        <w:p w:rsidR="00000000" w:rsidRDefault="00A80B36"/>
      </w:docPartBody>
    </w:docPart>
    <w:docPart>
      <w:docPartPr>
        <w:name w:val="9EFA7E8BB5F04D1EB10934A91E427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EF9B5-0B82-413E-902F-DBF0B70D61A4}"/>
      </w:docPartPr>
      <w:docPartBody>
        <w:p w:rsidR="00000000" w:rsidRDefault="00B013CB" w:rsidP="00B013CB">
          <w:pPr>
            <w:pStyle w:val="9EFA7E8BB5F04D1EB10934A91E427D6A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FA18382D76024B43AEA513EE1FC43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D403E-94C4-489F-9FC7-A4FE69905450}"/>
      </w:docPartPr>
      <w:docPartBody>
        <w:p w:rsidR="00000000" w:rsidRDefault="00A80B36"/>
      </w:docPartBody>
    </w:docPart>
    <w:docPart>
      <w:docPartPr>
        <w:name w:val="EAA740F1970A4771869B564EF2CA4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82BDF-DB3F-49BB-9DAF-A45619845CD8}"/>
      </w:docPartPr>
      <w:docPartBody>
        <w:p w:rsidR="00000000" w:rsidRDefault="00A80B36"/>
      </w:docPartBody>
    </w:docPart>
    <w:docPart>
      <w:docPartPr>
        <w:name w:val="07E5F763720A49609E971CDAE3BE4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E7382-2BED-4F34-8F97-44AF23956C90}"/>
      </w:docPartPr>
      <w:docPartBody>
        <w:p w:rsidR="00000000" w:rsidRDefault="00B013CB" w:rsidP="00B013CB">
          <w:pPr>
            <w:pStyle w:val="07E5F763720A49609E971CDAE3BE441D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6E5D8877C47046A48364C534FB6C1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1DD67-8313-4CB3-A828-18C29E017B52}"/>
      </w:docPartPr>
      <w:docPartBody>
        <w:p w:rsidR="00000000" w:rsidRDefault="00A80B36"/>
      </w:docPartBody>
    </w:docPart>
    <w:docPart>
      <w:docPartPr>
        <w:name w:val="F0315EAA17904F8FAB0498833F098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F94D7-557E-46A1-B165-CA3307D814B0}"/>
      </w:docPartPr>
      <w:docPartBody>
        <w:p w:rsidR="00000000" w:rsidRDefault="00A80B3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11267B"/>
    <w:rsid w:val="001135F3"/>
    <w:rsid w:val="001C5F26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A80B36"/>
    <w:rsid w:val="00B013CB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3CB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B013CB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B013CB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B013C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EFA7E8BB5F04D1EB10934A91E427D6A">
    <w:name w:val="9EFA7E8BB5F04D1EB10934A91E427D6A"/>
    <w:rsid w:val="00B013CB"/>
    <w:pPr>
      <w:spacing w:after="160" w:line="259" w:lineRule="auto"/>
    </w:pPr>
  </w:style>
  <w:style w:type="paragraph" w:customStyle="1" w:styleId="07E5F763720A49609E971CDAE3BE441D">
    <w:name w:val="07E5F763720A49609E971CDAE3BE441D"/>
    <w:rsid w:val="00B013C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C5D2-4789-4EDC-813B-EB0DAF4E9BA2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405DA414-748B-4E27-BED2-ABCDE9E1C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5664</TotalTime>
  <Pages>1</Pages>
  <Words>486</Words>
  <Characters>2771</Characters>
  <Application>Microsoft Office Word</Application>
  <DocSecurity>0</DocSecurity>
  <Lines>23</Lines>
  <Paragraphs>6</Paragraphs>
  <ScaleCrop>false</ScaleCrop>
  <Company>Texas Legislative Council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Bailey Castleberry</cp:lastModifiedBy>
  <cp:revision>155</cp:revision>
  <dcterms:created xsi:type="dcterms:W3CDTF">2015-05-29T14:24:00Z</dcterms:created>
  <dcterms:modified xsi:type="dcterms:W3CDTF">2019-04-22T15:30:00Z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