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D406D" w:rsidTr="00345119">
        <w:tc>
          <w:tcPr>
            <w:tcW w:w="9576" w:type="dxa"/>
            <w:noWrap/>
          </w:tcPr>
          <w:p w:rsidR="008423E4" w:rsidRPr="0022177D" w:rsidRDefault="0066319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6319A" w:rsidP="008423E4">
      <w:pPr>
        <w:jc w:val="center"/>
      </w:pPr>
    </w:p>
    <w:p w:rsidR="008423E4" w:rsidRPr="00B31F0E" w:rsidRDefault="0066319A" w:rsidP="008423E4"/>
    <w:p w:rsidR="008423E4" w:rsidRPr="00742794" w:rsidRDefault="0066319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D406D" w:rsidTr="00345119">
        <w:tc>
          <w:tcPr>
            <w:tcW w:w="9576" w:type="dxa"/>
          </w:tcPr>
          <w:p w:rsidR="008423E4" w:rsidRPr="00861995" w:rsidRDefault="0066319A" w:rsidP="00345119">
            <w:pPr>
              <w:jc w:val="right"/>
            </w:pPr>
            <w:r>
              <w:t>C.S.H.B. 1400</w:t>
            </w:r>
          </w:p>
        </w:tc>
      </w:tr>
      <w:tr w:rsidR="003D406D" w:rsidTr="00345119">
        <w:tc>
          <w:tcPr>
            <w:tcW w:w="9576" w:type="dxa"/>
          </w:tcPr>
          <w:p w:rsidR="008423E4" w:rsidRPr="00861995" w:rsidRDefault="0066319A" w:rsidP="00EC6867">
            <w:pPr>
              <w:jc w:val="right"/>
            </w:pPr>
            <w:r>
              <w:t xml:space="preserve">By: </w:t>
            </w:r>
            <w:r>
              <w:t>Hefner</w:t>
            </w:r>
          </w:p>
        </w:tc>
      </w:tr>
      <w:tr w:rsidR="003D406D" w:rsidTr="00345119">
        <w:tc>
          <w:tcPr>
            <w:tcW w:w="9576" w:type="dxa"/>
          </w:tcPr>
          <w:p w:rsidR="008423E4" w:rsidRPr="00861995" w:rsidRDefault="0066319A" w:rsidP="00345119">
            <w:pPr>
              <w:jc w:val="right"/>
            </w:pPr>
            <w:r>
              <w:t>Culture, Recreation &amp; Tourism</w:t>
            </w:r>
          </w:p>
        </w:tc>
      </w:tr>
      <w:tr w:rsidR="003D406D" w:rsidTr="00345119">
        <w:tc>
          <w:tcPr>
            <w:tcW w:w="9576" w:type="dxa"/>
          </w:tcPr>
          <w:p w:rsidR="008423E4" w:rsidRDefault="0066319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6319A" w:rsidP="008423E4">
      <w:pPr>
        <w:tabs>
          <w:tab w:val="right" w:pos="9360"/>
        </w:tabs>
      </w:pPr>
    </w:p>
    <w:p w:rsidR="008423E4" w:rsidRDefault="0066319A" w:rsidP="008423E4"/>
    <w:p w:rsidR="008423E4" w:rsidRDefault="0066319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D406D" w:rsidTr="00345119">
        <w:tc>
          <w:tcPr>
            <w:tcW w:w="9576" w:type="dxa"/>
          </w:tcPr>
          <w:p w:rsidR="008423E4" w:rsidRPr="00A8133F" w:rsidRDefault="0066319A" w:rsidP="005F242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6319A" w:rsidP="005F2420"/>
          <w:p w:rsidR="008423E4" w:rsidRDefault="0066319A" w:rsidP="005F2420">
            <w:pPr>
              <w:pStyle w:val="Header"/>
              <w:jc w:val="both"/>
            </w:pPr>
            <w:r>
              <w:t xml:space="preserve">Concerns have been raised regarding the transparency of certain financial information maintained by </w:t>
            </w:r>
            <w:r>
              <w:t xml:space="preserve">the General Land </w:t>
            </w:r>
            <w:r>
              <w:t>Office</w:t>
            </w:r>
            <w:r>
              <w:t xml:space="preserve"> relating to the administration of the Alamo </w:t>
            </w:r>
            <w:r>
              <w:t>c</w:t>
            </w:r>
            <w:r>
              <w:t xml:space="preserve">omplex. </w:t>
            </w:r>
            <w:r>
              <w:t>C.S.</w:t>
            </w:r>
            <w:r>
              <w:t xml:space="preserve">H.B. 1400 seeks to address this issue by providing for </w:t>
            </w:r>
            <w:r>
              <w:t>monthly</w:t>
            </w:r>
            <w:r>
              <w:t xml:space="preserve"> </w:t>
            </w:r>
            <w:r>
              <w:t xml:space="preserve">expense </w:t>
            </w:r>
            <w:r>
              <w:t>reports</w:t>
            </w:r>
            <w:r>
              <w:t>.</w:t>
            </w:r>
          </w:p>
          <w:p w:rsidR="008423E4" w:rsidRPr="00E26B13" w:rsidRDefault="0066319A" w:rsidP="005F2420">
            <w:pPr>
              <w:rPr>
                <w:b/>
              </w:rPr>
            </w:pPr>
          </w:p>
        </w:tc>
      </w:tr>
      <w:tr w:rsidR="003D406D" w:rsidTr="00345119">
        <w:tc>
          <w:tcPr>
            <w:tcW w:w="9576" w:type="dxa"/>
          </w:tcPr>
          <w:p w:rsidR="0017725B" w:rsidRDefault="0066319A" w:rsidP="005F24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6319A" w:rsidP="005F2420">
            <w:pPr>
              <w:rPr>
                <w:b/>
                <w:u w:val="single"/>
              </w:rPr>
            </w:pPr>
          </w:p>
          <w:p w:rsidR="00ED67E0" w:rsidRPr="00ED67E0" w:rsidRDefault="0066319A" w:rsidP="005F2420">
            <w:pPr>
              <w:jc w:val="both"/>
            </w:pPr>
            <w:r>
              <w:t>It is the committee's opinion that this bill does not expressly create a criminal off</w:t>
            </w:r>
            <w:r>
              <w:t>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6319A" w:rsidP="005F2420">
            <w:pPr>
              <w:rPr>
                <w:b/>
                <w:u w:val="single"/>
              </w:rPr>
            </w:pPr>
          </w:p>
        </w:tc>
      </w:tr>
      <w:tr w:rsidR="003D406D" w:rsidTr="00345119">
        <w:tc>
          <w:tcPr>
            <w:tcW w:w="9576" w:type="dxa"/>
          </w:tcPr>
          <w:p w:rsidR="008423E4" w:rsidRPr="00A8133F" w:rsidRDefault="0066319A" w:rsidP="005F242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6319A" w:rsidP="005F2420"/>
          <w:p w:rsidR="00ED67E0" w:rsidRDefault="0066319A" w:rsidP="005F24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</w:t>
            </w:r>
            <w:r>
              <w:t xml:space="preserve"> does not expressly grant any additional rulemaking authority to a state officer, department, agency, or institution.</w:t>
            </w:r>
          </w:p>
          <w:p w:rsidR="008423E4" w:rsidRPr="00E21FDC" w:rsidRDefault="0066319A" w:rsidP="005F2420">
            <w:pPr>
              <w:rPr>
                <w:b/>
              </w:rPr>
            </w:pPr>
          </w:p>
        </w:tc>
      </w:tr>
      <w:tr w:rsidR="003D406D" w:rsidTr="00345119">
        <w:tc>
          <w:tcPr>
            <w:tcW w:w="9576" w:type="dxa"/>
          </w:tcPr>
          <w:p w:rsidR="008423E4" w:rsidRDefault="0066319A" w:rsidP="005F242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F6527F" w:rsidRPr="00700E50" w:rsidRDefault="0066319A" w:rsidP="005F2420">
            <w:pPr>
              <w:rPr>
                <w:b/>
              </w:rPr>
            </w:pPr>
          </w:p>
          <w:p w:rsidR="00395774" w:rsidRDefault="0066319A" w:rsidP="005F2420">
            <w:pPr>
              <w:pStyle w:val="Header"/>
              <w:jc w:val="both"/>
            </w:pPr>
            <w:r>
              <w:t>C.S.</w:t>
            </w:r>
            <w:r>
              <w:t xml:space="preserve">H.B. 1400 amends the Natural Resources Code to require </w:t>
            </w:r>
            <w:r>
              <w:t>the General Land Office (GLO)</w:t>
            </w:r>
            <w:r w:rsidRPr="007F2632">
              <w:t xml:space="preserve"> and any other state agency that in any month uses money appropriated or donated to the agency by a public or private entity to pay an expense incurred by the agency during the preceding month for the preservation, maintenance, or restoration of the Alamo </w:t>
            </w:r>
            <w:r w:rsidRPr="007F2632">
              <w:t xml:space="preserve">or Alamo complex </w:t>
            </w:r>
            <w:r>
              <w:t>to</w:t>
            </w:r>
            <w:r w:rsidRPr="007F2632">
              <w:t xml:space="preserve"> prepare a month</w:t>
            </w:r>
            <w:r>
              <w:t xml:space="preserve">ly report detailing the expense. The bill requires </w:t>
            </w:r>
            <w:r>
              <w:t>a</w:t>
            </w:r>
            <w:r>
              <w:t xml:space="preserve"> report </w:t>
            </w:r>
            <w:r>
              <w:t xml:space="preserve">to be submitted in the format required by the GLO not later than the third business day of the month following the month in which an expense </w:t>
            </w:r>
            <w:r>
              <w:t>is incurred</w:t>
            </w:r>
            <w:r>
              <w:t xml:space="preserve">. The </w:t>
            </w:r>
            <w:r>
              <w:t>rep</w:t>
            </w:r>
            <w:r>
              <w:t>ort must</w:t>
            </w:r>
            <w:r>
              <w:t xml:space="preserve"> include</w:t>
            </w:r>
            <w:r>
              <w:t>:</w:t>
            </w:r>
            <w:r>
              <w:t xml:space="preserve"> </w:t>
            </w:r>
          </w:p>
          <w:p w:rsidR="00395774" w:rsidRDefault="0066319A" w:rsidP="005F2420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date the expense was incurred</w:t>
            </w:r>
            <w:r>
              <w:t>;</w:t>
            </w:r>
            <w:r>
              <w:t xml:space="preserve"> </w:t>
            </w:r>
          </w:p>
          <w:p w:rsidR="00395774" w:rsidRDefault="0066319A" w:rsidP="005F2420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amount charged</w:t>
            </w:r>
            <w:r>
              <w:t>;</w:t>
            </w:r>
            <w:r>
              <w:t xml:space="preserve"> </w:t>
            </w:r>
          </w:p>
          <w:p w:rsidR="00395774" w:rsidRDefault="0066319A" w:rsidP="005F2420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name of the vendor who billed for the expense</w:t>
            </w:r>
            <w:r>
              <w:t>;</w:t>
            </w:r>
            <w:r>
              <w:t xml:space="preserve"> and </w:t>
            </w:r>
          </w:p>
          <w:p w:rsidR="00395774" w:rsidRDefault="0066319A" w:rsidP="005F2420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a brief description of the expense. </w:t>
            </w:r>
          </w:p>
          <w:p w:rsidR="008423E4" w:rsidRDefault="0066319A" w:rsidP="005F2420">
            <w:pPr>
              <w:pStyle w:val="Header"/>
              <w:jc w:val="both"/>
            </w:pPr>
            <w:r>
              <w:t xml:space="preserve">The bill requires the GLO to post </w:t>
            </w:r>
            <w:r w:rsidRPr="00D337BF">
              <w:t>each</w:t>
            </w:r>
            <w:r>
              <w:t xml:space="preserve"> submitted</w:t>
            </w:r>
            <w:r w:rsidRPr="00D337BF">
              <w:t xml:space="preserve"> monthly report </w:t>
            </w:r>
            <w:r>
              <w:t xml:space="preserve">on the GLO </w:t>
            </w:r>
            <w:r w:rsidRPr="00D337BF">
              <w:t xml:space="preserve">website not </w:t>
            </w:r>
            <w:r w:rsidRPr="00D337BF">
              <w:t xml:space="preserve">later than the </w:t>
            </w:r>
            <w:r>
              <w:t>fifth</w:t>
            </w:r>
            <w:r w:rsidRPr="00D337BF">
              <w:t xml:space="preserve"> business day after the date the report is submitted</w:t>
            </w:r>
            <w:r>
              <w:t xml:space="preserve"> </w:t>
            </w:r>
            <w:r w:rsidRPr="00D437A1">
              <w:t xml:space="preserve">by posting a link to the report on the </w:t>
            </w:r>
            <w:r>
              <w:t>GLO</w:t>
            </w:r>
            <w:r w:rsidRPr="00D437A1">
              <w:t xml:space="preserve"> home page</w:t>
            </w:r>
            <w:r>
              <w:t xml:space="preserve">. </w:t>
            </w:r>
          </w:p>
          <w:p w:rsidR="00F6527F" w:rsidRPr="00DF67AF" w:rsidRDefault="0066319A" w:rsidP="005F2420">
            <w:pPr>
              <w:pStyle w:val="Header"/>
              <w:jc w:val="both"/>
            </w:pPr>
          </w:p>
        </w:tc>
      </w:tr>
      <w:tr w:rsidR="003D406D" w:rsidTr="00345119">
        <w:tc>
          <w:tcPr>
            <w:tcW w:w="9576" w:type="dxa"/>
          </w:tcPr>
          <w:p w:rsidR="008423E4" w:rsidRPr="00A8133F" w:rsidRDefault="0066319A" w:rsidP="005F242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6319A" w:rsidP="005F2420"/>
          <w:p w:rsidR="008423E4" w:rsidRDefault="0066319A" w:rsidP="005F24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965643" w:rsidRPr="00233FDB" w:rsidRDefault="0066319A" w:rsidP="005F24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3D406D" w:rsidTr="00345119">
        <w:tc>
          <w:tcPr>
            <w:tcW w:w="9576" w:type="dxa"/>
          </w:tcPr>
          <w:p w:rsidR="00EC6867" w:rsidRDefault="0066319A" w:rsidP="005F242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23759F" w:rsidRDefault="0066319A" w:rsidP="005F2420">
            <w:pPr>
              <w:jc w:val="both"/>
            </w:pPr>
          </w:p>
          <w:p w:rsidR="0023759F" w:rsidRDefault="0066319A" w:rsidP="005F2420">
            <w:pPr>
              <w:jc w:val="both"/>
            </w:pPr>
            <w:r>
              <w:t xml:space="preserve">While C.S.H.B. 1400 may differ from the original </w:t>
            </w:r>
            <w:r>
              <w:t>in minor or nonsubstantive ways, the following summarizes the substantial differences between the introduced and committee substitute versions of the bill.</w:t>
            </w:r>
          </w:p>
          <w:p w:rsidR="00700E50" w:rsidRDefault="0066319A" w:rsidP="005F2420">
            <w:pPr>
              <w:jc w:val="both"/>
            </w:pPr>
          </w:p>
          <w:p w:rsidR="00700E50" w:rsidRDefault="0066319A" w:rsidP="005F2420">
            <w:pPr>
              <w:jc w:val="both"/>
            </w:pPr>
            <w:r>
              <w:t xml:space="preserve">The substitute does not include a provision </w:t>
            </w:r>
            <w:r w:rsidRPr="0023759F">
              <w:t>requir</w:t>
            </w:r>
            <w:r>
              <w:t>ing</w:t>
            </w:r>
            <w:r w:rsidRPr="0023759F">
              <w:t xml:space="preserve"> any public or private entity that enters into</w:t>
            </w:r>
            <w:r w:rsidRPr="0023759F">
              <w:t xml:space="preserve"> an agreement with the state to provide a service or other benefit to preserve, maintain, or restore the Alamo or Alamo complex to submit to the GLO a monthly report detailing any service or benefit provided during the preceding month for those purposes.</w:t>
            </w:r>
          </w:p>
          <w:p w:rsidR="00DF67AF" w:rsidRDefault="0066319A" w:rsidP="005F2420">
            <w:pPr>
              <w:jc w:val="both"/>
            </w:pPr>
          </w:p>
          <w:p w:rsidR="00700E50" w:rsidRPr="00700E50" w:rsidRDefault="0066319A" w:rsidP="005F2420">
            <w:pPr>
              <w:jc w:val="both"/>
            </w:pPr>
          </w:p>
        </w:tc>
      </w:tr>
      <w:tr w:rsidR="003D406D" w:rsidTr="00345119">
        <w:tc>
          <w:tcPr>
            <w:tcW w:w="9576" w:type="dxa"/>
          </w:tcPr>
          <w:p w:rsidR="00EC6867" w:rsidRPr="009C1E9A" w:rsidRDefault="0066319A" w:rsidP="005F2420">
            <w:pPr>
              <w:rPr>
                <w:b/>
                <w:u w:val="single"/>
              </w:rPr>
            </w:pPr>
          </w:p>
        </w:tc>
      </w:tr>
      <w:tr w:rsidR="003D406D" w:rsidTr="00345119">
        <w:tc>
          <w:tcPr>
            <w:tcW w:w="9576" w:type="dxa"/>
          </w:tcPr>
          <w:p w:rsidR="00EC6867" w:rsidRPr="00EC6867" w:rsidRDefault="0066319A" w:rsidP="005F2420">
            <w:pPr>
              <w:jc w:val="both"/>
            </w:pPr>
          </w:p>
        </w:tc>
      </w:tr>
    </w:tbl>
    <w:p w:rsidR="004108C3" w:rsidRPr="008423E4" w:rsidRDefault="0066319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6319A">
      <w:r>
        <w:separator/>
      </w:r>
    </w:p>
  </w:endnote>
  <w:endnote w:type="continuationSeparator" w:id="0">
    <w:p w:rsidR="00000000" w:rsidRDefault="0066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AFB" w:rsidRDefault="00663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D406D" w:rsidTr="009C1E9A">
      <w:trPr>
        <w:cantSplit/>
      </w:trPr>
      <w:tc>
        <w:tcPr>
          <w:tcW w:w="0" w:type="pct"/>
        </w:tcPr>
        <w:p w:rsidR="00137D90" w:rsidRDefault="0066319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6319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6319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6319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6319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D406D" w:rsidTr="009C1E9A">
      <w:trPr>
        <w:cantSplit/>
      </w:trPr>
      <w:tc>
        <w:tcPr>
          <w:tcW w:w="0" w:type="pct"/>
        </w:tcPr>
        <w:p w:rsidR="00EC379B" w:rsidRDefault="0066319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6319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30134</w:t>
          </w:r>
        </w:p>
      </w:tc>
      <w:tc>
        <w:tcPr>
          <w:tcW w:w="2453" w:type="pct"/>
        </w:tcPr>
        <w:p w:rsidR="00EC379B" w:rsidRDefault="0066319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19.117.211</w:t>
          </w:r>
          <w:r>
            <w:fldChar w:fldCharType="end"/>
          </w:r>
        </w:p>
      </w:tc>
    </w:tr>
    <w:tr w:rsidR="003D406D" w:rsidTr="009C1E9A">
      <w:trPr>
        <w:cantSplit/>
      </w:trPr>
      <w:tc>
        <w:tcPr>
          <w:tcW w:w="0" w:type="pct"/>
        </w:tcPr>
        <w:p w:rsidR="00EC379B" w:rsidRDefault="0066319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6319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26435</w:t>
          </w:r>
        </w:p>
      </w:tc>
      <w:tc>
        <w:tcPr>
          <w:tcW w:w="2453" w:type="pct"/>
        </w:tcPr>
        <w:p w:rsidR="00EC379B" w:rsidRDefault="0066319A" w:rsidP="006D504F">
          <w:pPr>
            <w:pStyle w:val="Footer"/>
            <w:rPr>
              <w:rStyle w:val="PageNumber"/>
            </w:rPr>
          </w:pPr>
        </w:p>
        <w:p w:rsidR="00EC379B" w:rsidRDefault="0066319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D406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6319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66319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6319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AFB" w:rsidRDefault="00663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6319A">
      <w:r>
        <w:separator/>
      </w:r>
    </w:p>
  </w:footnote>
  <w:footnote w:type="continuationSeparator" w:id="0">
    <w:p w:rsidR="00000000" w:rsidRDefault="00663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AFB" w:rsidRDefault="006631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AFB" w:rsidRDefault="006631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AFB" w:rsidRDefault="00663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91A9E"/>
    <w:multiLevelType w:val="hybridMultilevel"/>
    <w:tmpl w:val="CAC6BAA2"/>
    <w:lvl w:ilvl="0" w:tplc="F0C8B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42A7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A4DD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62BB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84B4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0E08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10BA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F202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4AB9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6D"/>
    <w:rsid w:val="003D406D"/>
    <w:rsid w:val="0066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0D0FEE-9477-447E-B081-16B200C3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D67E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67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67E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6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6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2088</Characters>
  <Application>Microsoft Office Word</Application>
  <DocSecurity>4</DocSecurity>
  <Lines>63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HB01400 (Committee Report (Substituted))</vt:lpstr>
    </vt:vector>
  </TitlesOfParts>
  <Company>State of Texas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30134</dc:subject>
  <dc:creator>State of Texas</dc:creator>
  <dc:description>HB 1400 by Hefner-(H)Culture, Recreation &amp; Tourism (Substitute Document Number: 86R 26435)</dc:description>
  <cp:lastModifiedBy>Laura Ramsay</cp:lastModifiedBy>
  <cp:revision>2</cp:revision>
  <cp:lastPrinted>2003-11-26T17:21:00Z</cp:lastPrinted>
  <dcterms:created xsi:type="dcterms:W3CDTF">2019-05-06T21:11:00Z</dcterms:created>
  <dcterms:modified xsi:type="dcterms:W3CDTF">2019-05-06T21:11:00Z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19.117.211</vt:lpwstr>
  </property>
</Properties>
</file>