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5683" w:rsidTr="00345119">
        <w:tc>
          <w:tcPr>
            <w:tcW w:w="9576" w:type="dxa"/>
            <w:noWrap/>
          </w:tcPr>
          <w:p w:rsidR="008423E4" w:rsidRPr="0022177D" w:rsidRDefault="005706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0668" w:rsidP="008423E4">
      <w:pPr>
        <w:jc w:val="center"/>
      </w:pPr>
    </w:p>
    <w:p w:rsidR="008423E4" w:rsidRPr="00B31F0E" w:rsidRDefault="00570668" w:rsidP="008423E4"/>
    <w:p w:rsidR="008423E4" w:rsidRPr="00742794" w:rsidRDefault="005706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5683" w:rsidTr="00345119">
        <w:tc>
          <w:tcPr>
            <w:tcW w:w="9576" w:type="dxa"/>
          </w:tcPr>
          <w:p w:rsidR="008423E4" w:rsidRPr="00861995" w:rsidRDefault="00570668" w:rsidP="00345119">
            <w:pPr>
              <w:jc w:val="right"/>
            </w:pPr>
            <w:r>
              <w:t>H.B. 1406</w:t>
            </w:r>
          </w:p>
        </w:tc>
      </w:tr>
      <w:tr w:rsidR="00195683" w:rsidTr="00345119">
        <w:tc>
          <w:tcPr>
            <w:tcW w:w="9576" w:type="dxa"/>
          </w:tcPr>
          <w:p w:rsidR="008423E4" w:rsidRPr="00861995" w:rsidRDefault="00570668" w:rsidP="00B17760">
            <w:pPr>
              <w:jc w:val="right"/>
            </w:pPr>
            <w:r>
              <w:t xml:space="preserve">By: </w:t>
            </w:r>
            <w:r>
              <w:t>Dean</w:t>
            </w:r>
          </w:p>
        </w:tc>
      </w:tr>
      <w:tr w:rsidR="00195683" w:rsidTr="00345119">
        <w:tc>
          <w:tcPr>
            <w:tcW w:w="9576" w:type="dxa"/>
          </w:tcPr>
          <w:p w:rsidR="008423E4" w:rsidRPr="00861995" w:rsidRDefault="00570668" w:rsidP="00345119">
            <w:pPr>
              <w:jc w:val="right"/>
            </w:pPr>
            <w:r>
              <w:t>Elections</w:t>
            </w:r>
          </w:p>
        </w:tc>
      </w:tr>
      <w:tr w:rsidR="00195683" w:rsidTr="00345119">
        <w:tc>
          <w:tcPr>
            <w:tcW w:w="9576" w:type="dxa"/>
          </w:tcPr>
          <w:p w:rsidR="008423E4" w:rsidRDefault="00570668" w:rsidP="00B17760">
            <w:pPr>
              <w:jc w:val="right"/>
            </w:pPr>
            <w:r>
              <w:t>Committee Report (Unamended)</w:t>
            </w:r>
          </w:p>
        </w:tc>
      </w:tr>
    </w:tbl>
    <w:p w:rsidR="008423E4" w:rsidRDefault="00570668" w:rsidP="008423E4">
      <w:pPr>
        <w:tabs>
          <w:tab w:val="right" w:pos="9360"/>
        </w:tabs>
      </w:pPr>
    </w:p>
    <w:p w:rsidR="008423E4" w:rsidRDefault="00570668" w:rsidP="008423E4"/>
    <w:p w:rsidR="008423E4" w:rsidRDefault="005706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95683" w:rsidTr="00345119">
        <w:tc>
          <w:tcPr>
            <w:tcW w:w="9576" w:type="dxa"/>
          </w:tcPr>
          <w:p w:rsidR="008423E4" w:rsidRPr="00A8133F" w:rsidRDefault="00570668" w:rsidP="00B10E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0668" w:rsidP="00B10E68"/>
          <w:p w:rsidR="008423E4" w:rsidRDefault="00570668" w:rsidP="00B10E68">
            <w:pPr>
              <w:pStyle w:val="Header"/>
              <w:jc w:val="both"/>
            </w:pPr>
            <w:r>
              <w:t xml:space="preserve">Concerns have been raised that certain statutory language </w:t>
            </w:r>
            <w:r>
              <w:t>relating to the circumstances in which</w:t>
            </w:r>
            <w:r>
              <w:t xml:space="preserve"> a voter registrar</w:t>
            </w:r>
            <w:r>
              <w:t xml:space="preserve"> </w:t>
            </w:r>
            <w:r>
              <w:t>is required</w:t>
            </w:r>
            <w:r>
              <w:t xml:space="preserve"> to </w:t>
            </w:r>
            <w:r>
              <w:t xml:space="preserve">send notice requesting confirmation of </w:t>
            </w:r>
            <w:r>
              <w:t xml:space="preserve">a voter's </w:t>
            </w:r>
            <w:r>
              <w:t xml:space="preserve">current </w:t>
            </w:r>
            <w:r>
              <w:t xml:space="preserve">residence </w:t>
            </w:r>
            <w:r>
              <w:t>is</w:t>
            </w:r>
            <w:r>
              <w:t xml:space="preserve"> </w:t>
            </w:r>
            <w:r>
              <w:t>ambiguous</w:t>
            </w:r>
            <w:r>
              <w:t xml:space="preserve"> and in need of clarification</w:t>
            </w:r>
            <w:r>
              <w:t xml:space="preserve">. </w:t>
            </w:r>
            <w:r>
              <w:t xml:space="preserve">H.B. 1406 seeks to </w:t>
            </w:r>
            <w:r>
              <w:t xml:space="preserve">address these concerns by </w:t>
            </w:r>
            <w:r>
              <w:t>clarify</w:t>
            </w:r>
            <w:r>
              <w:t xml:space="preserve">ing </w:t>
            </w:r>
            <w:r>
              <w:t>the</w:t>
            </w:r>
            <w:r>
              <w:t xml:space="preserve"> </w:t>
            </w:r>
            <w:r>
              <w:t>circumstances that</w:t>
            </w:r>
            <w:r>
              <w:t xml:space="preserve"> </w:t>
            </w:r>
            <w:r>
              <w:t>require such</w:t>
            </w:r>
            <w:r>
              <w:t xml:space="preserve"> notice </w:t>
            </w:r>
            <w:r>
              <w:t>to be provided by the registrar to the voter</w:t>
            </w:r>
            <w:r>
              <w:t>.</w:t>
            </w:r>
          </w:p>
          <w:p w:rsidR="008423E4" w:rsidRPr="00E26B13" w:rsidRDefault="00570668" w:rsidP="00B10E68">
            <w:pPr>
              <w:rPr>
                <w:b/>
              </w:rPr>
            </w:pPr>
          </w:p>
        </w:tc>
      </w:tr>
      <w:tr w:rsidR="00195683" w:rsidTr="00345119">
        <w:tc>
          <w:tcPr>
            <w:tcW w:w="9576" w:type="dxa"/>
          </w:tcPr>
          <w:p w:rsidR="0017725B" w:rsidRDefault="00570668" w:rsidP="00B10E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0668" w:rsidP="00B10E68">
            <w:pPr>
              <w:rPr>
                <w:b/>
                <w:u w:val="single"/>
              </w:rPr>
            </w:pPr>
          </w:p>
          <w:p w:rsidR="0092058B" w:rsidRPr="0092058B" w:rsidRDefault="00570668" w:rsidP="00B10E6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:rsidR="0017725B" w:rsidRPr="0017725B" w:rsidRDefault="00570668" w:rsidP="00B10E68">
            <w:pPr>
              <w:rPr>
                <w:b/>
                <w:u w:val="single"/>
              </w:rPr>
            </w:pPr>
          </w:p>
        </w:tc>
      </w:tr>
      <w:tr w:rsidR="00195683" w:rsidTr="00345119">
        <w:tc>
          <w:tcPr>
            <w:tcW w:w="9576" w:type="dxa"/>
          </w:tcPr>
          <w:p w:rsidR="008423E4" w:rsidRPr="00A8133F" w:rsidRDefault="00570668" w:rsidP="00B10E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0668" w:rsidP="00B10E68"/>
          <w:p w:rsidR="0092058B" w:rsidRDefault="00570668" w:rsidP="00B10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70668" w:rsidP="00B10E68">
            <w:pPr>
              <w:rPr>
                <w:b/>
              </w:rPr>
            </w:pPr>
          </w:p>
        </w:tc>
      </w:tr>
      <w:tr w:rsidR="00195683" w:rsidTr="00345119">
        <w:tc>
          <w:tcPr>
            <w:tcW w:w="9576" w:type="dxa"/>
          </w:tcPr>
          <w:p w:rsidR="008423E4" w:rsidRPr="00A8133F" w:rsidRDefault="00570668" w:rsidP="00B10E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0668" w:rsidP="00B10E68"/>
          <w:p w:rsidR="004E02DF" w:rsidRDefault="00570668" w:rsidP="00B10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1406 amends the Election Code to clarify that a voter registrar is required to </w:t>
            </w:r>
            <w:r w:rsidRPr="00B760B5">
              <w:t xml:space="preserve">deliver to </w:t>
            </w:r>
            <w:r>
              <w:t>a</w:t>
            </w:r>
            <w:r w:rsidRPr="00B760B5">
              <w:t xml:space="preserve"> voter a written confirmation notice requesting confirmation of the voter's current residence</w:t>
            </w:r>
            <w:r>
              <w:t xml:space="preserve"> if the registrar receives:</w:t>
            </w:r>
          </w:p>
          <w:p w:rsidR="004E02DF" w:rsidRDefault="00570668" w:rsidP="00B10E6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notice </w:t>
            </w:r>
            <w:r>
              <w:t>o</w:t>
            </w:r>
            <w:r>
              <w:t>f</w:t>
            </w:r>
            <w:r>
              <w:t xml:space="preserve"> return of an initial </w:t>
            </w:r>
            <w:r>
              <w:t>voter re</w:t>
            </w:r>
            <w:r>
              <w:t xml:space="preserve">gistration </w:t>
            </w:r>
            <w:r>
              <w:t>certificate</w:t>
            </w:r>
            <w:r>
              <w:t>;</w:t>
            </w:r>
          </w:p>
          <w:p w:rsidR="004E02DF" w:rsidRDefault="00570668" w:rsidP="00B10E6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notice </w:t>
            </w:r>
            <w:r>
              <w:t>of</w:t>
            </w:r>
            <w:r>
              <w:t xml:space="preserve"> </w:t>
            </w:r>
            <w:r>
              <w:t>return of a renewal</w:t>
            </w:r>
            <w:r>
              <w:t xml:space="preserve"> voter registration</w:t>
            </w:r>
            <w:r>
              <w:t xml:space="preserve"> certificate</w:t>
            </w:r>
            <w:r>
              <w:t>;</w:t>
            </w:r>
          </w:p>
          <w:p w:rsidR="004E02DF" w:rsidRDefault="00570668" w:rsidP="00B10E6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notice </w:t>
            </w:r>
            <w:r>
              <w:t>of a</w:t>
            </w:r>
            <w:r>
              <w:t xml:space="preserve"> challenge</w:t>
            </w:r>
            <w:r>
              <w:t xml:space="preserve"> of voter registration</w:t>
            </w:r>
            <w:r>
              <w:t xml:space="preserve"> based on residence</w:t>
            </w:r>
            <w:r>
              <w:t xml:space="preserve">; </w:t>
            </w:r>
            <w:r>
              <w:t xml:space="preserve">or </w:t>
            </w:r>
          </w:p>
          <w:p w:rsidR="008423E4" w:rsidRDefault="00570668" w:rsidP="00B10E6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notice from the secretary of state </w:t>
            </w:r>
            <w:r>
              <w:t xml:space="preserve">of its determination that a voter </w:t>
            </w:r>
            <w:r>
              <w:t xml:space="preserve">on the voter registration list </w:t>
            </w:r>
            <w:r>
              <w:t>h</w:t>
            </w:r>
            <w:r>
              <w:t>a</w:t>
            </w:r>
            <w:r>
              <w:t>s more than one</w:t>
            </w:r>
            <w:r>
              <w:t xml:space="preserve"> registration record</w:t>
            </w:r>
            <w:r>
              <w:t xml:space="preserve"> on file based on a strong match</w:t>
            </w:r>
            <w:r w:rsidRPr="00B760B5">
              <w:t>.</w:t>
            </w:r>
          </w:p>
          <w:p w:rsidR="008423E4" w:rsidRPr="00835628" w:rsidRDefault="00570668" w:rsidP="00B10E68">
            <w:pPr>
              <w:rPr>
                <w:b/>
              </w:rPr>
            </w:pPr>
          </w:p>
        </w:tc>
      </w:tr>
      <w:tr w:rsidR="00195683" w:rsidTr="00345119">
        <w:tc>
          <w:tcPr>
            <w:tcW w:w="9576" w:type="dxa"/>
          </w:tcPr>
          <w:p w:rsidR="008423E4" w:rsidRPr="00A8133F" w:rsidRDefault="00570668" w:rsidP="00B10E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0668" w:rsidP="00B10E68"/>
          <w:p w:rsidR="008423E4" w:rsidRPr="003624F2" w:rsidRDefault="00570668" w:rsidP="00B10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70668" w:rsidP="00B10E68">
            <w:pPr>
              <w:rPr>
                <w:b/>
              </w:rPr>
            </w:pPr>
          </w:p>
        </w:tc>
      </w:tr>
    </w:tbl>
    <w:p w:rsidR="008423E4" w:rsidRPr="00BE0E75" w:rsidRDefault="0057066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066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0668">
      <w:r>
        <w:separator/>
      </w:r>
    </w:p>
  </w:endnote>
  <w:endnote w:type="continuationSeparator" w:id="0">
    <w:p w:rsidR="00000000" w:rsidRDefault="005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5683" w:rsidTr="009C1E9A">
      <w:trPr>
        <w:cantSplit/>
      </w:trPr>
      <w:tc>
        <w:tcPr>
          <w:tcW w:w="0" w:type="pct"/>
        </w:tcPr>
        <w:p w:rsidR="00137D90" w:rsidRDefault="005706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06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06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06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06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5683" w:rsidTr="009C1E9A">
      <w:trPr>
        <w:cantSplit/>
      </w:trPr>
      <w:tc>
        <w:tcPr>
          <w:tcW w:w="0" w:type="pct"/>
        </w:tcPr>
        <w:p w:rsidR="00EC379B" w:rsidRDefault="005706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06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24107</w:t>
          </w:r>
        </w:p>
      </w:tc>
      <w:tc>
        <w:tcPr>
          <w:tcW w:w="2453" w:type="pct"/>
        </w:tcPr>
        <w:p w:rsidR="00EC379B" w:rsidRDefault="005706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19.94.422</w:t>
          </w:r>
          <w:r>
            <w:fldChar w:fldCharType="end"/>
          </w:r>
        </w:p>
      </w:tc>
    </w:tr>
    <w:tr w:rsidR="00195683" w:rsidTr="009C1E9A">
      <w:trPr>
        <w:cantSplit/>
      </w:trPr>
      <w:tc>
        <w:tcPr>
          <w:tcW w:w="0" w:type="pct"/>
        </w:tcPr>
        <w:p w:rsidR="00EC379B" w:rsidRDefault="005706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06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70668" w:rsidP="006D504F">
          <w:pPr>
            <w:pStyle w:val="Footer"/>
            <w:rPr>
              <w:rStyle w:val="PageNumber"/>
            </w:rPr>
          </w:pPr>
        </w:p>
        <w:p w:rsidR="00EC379B" w:rsidRDefault="005706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56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06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06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06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0668">
      <w:r>
        <w:separator/>
      </w:r>
    </w:p>
  </w:footnote>
  <w:footnote w:type="continuationSeparator" w:id="0">
    <w:p w:rsidR="00000000" w:rsidRDefault="0057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1ED"/>
    <w:multiLevelType w:val="hybridMultilevel"/>
    <w:tmpl w:val="DBE0DD44"/>
    <w:lvl w:ilvl="0" w:tplc="8B06F0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18023C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06C5A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54A09A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75223C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75C344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E1EF02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91A673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FCE6AC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3"/>
    <w:rsid w:val="00195683"/>
    <w:rsid w:val="005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F71DFB-7FF3-40C1-8F18-B10CBA2E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05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05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4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HB01406 (Committee Report (Unamended))</vt:lpstr>
    </vt:vector>
  </TitlesOfParts>
  <Company>State of Texas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24107</dc:subject>
  <dc:creator>State of Texas</dc:creator>
  <dc:description>HB 1406 by Dean-(H)Elections</dc:description>
  <cp:lastModifiedBy>Stacey Nicchio</cp:lastModifiedBy>
  <cp:revision>2</cp:revision>
  <cp:lastPrinted>2003-11-26T17:21:00Z</cp:lastPrinted>
  <dcterms:created xsi:type="dcterms:W3CDTF">2019-04-27T01:20:00Z</dcterms:created>
  <dcterms:modified xsi:type="dcterms:W3CDTF">2019-04-27T01:20:00Z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19.94.422</vt:lpwstr>
  </property>
</Properties>
</file>